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spacing w:after="80"/>
        <w:jc w:val="center"/>
      </w:pPr>
      <w:r>
        <w:rPr>
          <w:rFonts w:ascii="Calibri" w:cs="Calibri" w:eastAsia="Calibri" w:hAnsi="Calibri"/>
          <w:b/>
          <w:bCs/>
          <w:color w:val="B08D57"/>
          <w:spacing w:val="30"/>
          <w:sz w:val="22"/>
          <w:szCs w:val="22"/>
        </w:rPr>
        <w:t xml:space="preserve">PROMOTION IN THE AGE OF AI</w:t>
      </w:r>
    </w:p>
    <w:p>
      <w:pPr>
        <w:spacing w:after="300"/>
        <w:jc w:val="center"/>
      </w:pPr>
      <w:r>
        <w:rPr>
          <w:rFonts w:ascii="Cambria" w:cs="Cambria" w:eastAsia="Cambria" w:hAnsi="Cambria"/>
          <w:b/>
          <w:bCs/>
          <w:color w:val="1B2A4A"/>
          <w:sz w:val="60"/>
          <w:szCs w:val="60"/>
        </w:rPr>
        <w:t xml:space="preserve">THE VERIFIED HUMAN TOOLKIT</w:t>
      </w:r>
    </w:p>
    <w:p>
      <w:pPr>
        <w:spacing w:after="900"/>
        <w:jc w:val="center"/>
      </w:pPr>
      <w:r>
        <w:rPr>
          <w:rFonts w:ascii="Calibri" w:cs="Calibri" w:eastAsia="Calibri" w:hAnsi="Calibri"/>
          <w:i/>
          <w:iCs/>
          <w:color w:val="6B6B6B"/>
          <w:sz w:val="24"/>
          <w:szCs w:val="24"/>
        </w:rPr>
        <w:t xml:space="preserve">A Positioning &amp; Promotion System for Independent Artists Competing Against AI-Generated Music</w:t>
      </w:r>
    </w:p>
    <w:p>
      <w:pPr>
        <w:spacing w:after="60"/>
        <w:jc w:val="center"/>
      </w:pPr>
      <w:r>
        <w:rPr>
          <w:rFonts w:ascii="Calibri" w:cs="Calibri" w:eastAsia="Calibri" w:hAnsi="Calibri"/>
          <w:b/>
          <w:bCs/>
          <w:color w:val="B08D57"/>
          <w:spacing w:val="20"/>
          <w:sz w:val="18"/>
          <w:szCs w:val="18"/>
        </w:rPr>
        <w:t xml:space="preserve">PREPARED BY</w:t>
      </w:r>
    </w:p>
    <w:p>
      <w:pPr>
        <w:spacing w:after="1600"/>
        <w:jc w:val="center"/>
      </w:pPr>
      <w:r>
        <w:rPr>
          <w:rFonts w:ascii="Calibri" w:cs="Calibri" w:eastAsia="Calibri" w:hAnsi="Calibri"/>
          <w:color w:val="222222"/>
          <w:sz w:val="22"/>
          <w:szCs w:val="22"/>
        </w:rPr>
        <w:t xml:space="preserve">RealMuZick — Music Industry Analysis &amp; Artist Development</w:t>
      </w:r>
    </w:p>
    <w:p>
      <w:pPr>
        <w:jc w:val="center"/>
      </w:pPr>
      <w:r>
        <w:rPr>
          <w:rFonts w:ascii="Calibri" w:cs="Calibri" w:eastAsia="Calibri" w:hAnsi="Calibri"/>
          <w:color w:val="6B6B6B"/>
          <w:sz w:val="18"/>
          <w:szCs w:val="18"/>
        </w:rPr>
        <w:t xml:space="preserve">Edition 1.0 · 2026</w:t>
      </w:r>
    </w:p>
    <w:p>
      <w:pPr>
        <w:sectPr>
          <w:pgSz w:w="12240" w:h="15840" w:orient="portrait"/>
          <w:pgMar w:top="0" w:right="0" w:bottom="0" w:left="0" w:header="708" w:footer="708" w:gutter="0"/>
          <w:pgNumType/>
          <w:docGrid w:linePitch="360"/>
        </w:sectPr>
      </w:pPr>
    </w:p>
    <w:p>
      <w:pPr>
        <w:pStyle w:val="Heading1"/>
        <w:pBdr>
          <w:bottom w:val="single" w:color="B08D57" w:sz="8" w:space="6"/>
        </w:pBdr>
        <w:spacing w:after="240" w:before="480"/>
      </w:pPr>
      <w:r>
        <w:rPr>
          <w:rFonts w:ascii="Cambria" w:cs="Cambria" w:eastAsia="Cambria" w:hAnsi="Cambria"/>
          <w:b/>
          <w:bCs/>
          <w:color w:val="1B2A4A"/>
          <w:sz w:val="32"/>
          <w:szCs w:val="32"/>
        </w:rPr>
        <w:t xml:space="preserve">Contents</w:t>
      </w:r>
    </w:p>
    <w:p>
      <w:pPr>
        <w:tabs>
          <w:tab w:val="right" w:pos="9026" w:leader="dot"/>
        </w:tabs>
        <w:spacing w:after="180"/>
        <w:ind w:left="260" w:hanging="260"/>
      </w:pPr>
      <w:r>
        <w:rPr>
          <w:rFonts w:ascii="Calibri" w:cs="Calibri" w:eastAsia="Calibri" w:hAnsi="Calibri"/>
          <w:b/>
          <w:bCs/>
          <w:color w:val="B08D57"/>
          <w:sz w:val="22"/>
          <w:szCs w:val="22"/>
        </w:rPr>
        <w:t xml:space="preserve">1    </w:t>
      </w:r>
      <w:r>
        <w:rPr>
          <w:rFonts w:ascii="Calibri" w:cs="Calibri" w:eastAsia="Calibri" w:hAnsi="Calibri"/>
          <w:color w:val="222222"/>
          <w:sz w:val="22"/>
          <w:szCs w:val="22"/>
        </w:rPr>
        <w:t xml:space="preserve">Why This Toolkit Exists</w:t>
      </w:r>
      <w:r>
        <w:rPr>
          <w:rFonts w:ascii="Calibri" w:cs="Calibri" w:eastAsia="Calibri" w:hAnsi="Calibri"/>
          <w:color w:val="6B6B6B"/>
          <w:sz w:val="22"/>
          <w:szCs w:val="22"/>
        </w:rPr>
        <w:t xml:space="preserve">	3</w:t>
      </w:r>
    </w:p>
    <w:p>
      <w:pPr>
        <w:tabs>
          <w:tab w:val="right" w:pos="9026" w:leader="dot"/>
        </w:tabs>
        <w:spacing w:after="180"/>
        <w:ind w:left="260" w:hanging="260"/>
      </w:pPr>
      <w:r>
        <w:rPr>
          <w:rFonts w:ascii="Calibri" w:cs="Calibri" w:eastAsia="Calibri" w:hAnsi="Calibri"/>
          <w:b/>
          <w:bCs/>
          <w:color w:val="B08D57"/>
          <w:sz w:val="22"/>
          <w:szCs w:val="22"/>
        </w:rPr>
        <w:t xml:space="preserve">2    </w:t>
      </w:r>
      <w:r>
        <w:rPr>
          <w:rFonts w:ascii="Calibri" w:cs="Calibri" w:eastAsia="Calibri" w:hAnsi="Calibri"/>
          <w:color w:val="222222"/>
          <w:sz w:val="22"/>
          <w:szCs w:val="22"/>
        </w:rPr>
        <w:t xml:space="preserve">What You'll Have When You Finish</w:t>
      </w:r>
      <w:r>
        <w:rPr>
          <w:rFonts w:ascii="Calibri" w:cs="Calibri" w:eastAsia="Calibri" w:hAnsi="Calibri"/>
          <w:color w:val="6B6B6B"/>
          <w:sz w:val="22"/>
          <w:szCs w:val="22"/>
        </w:rPr>
        <w:t xml:space="preserve">	4</w:t>
      </w:r>
    </w:p>
    <w:p>
      <w:pPr>
        <w:tabs>
          <w:tab w:val="right" w:pos="9026" w:leader="dot"/>
        </w:tabs>
        <w:spacing w:after="180"/>
        <w:ind w:left="260" w:hanging="260"/>
      </w:pPr>
      <w:r>
        <w:rPr>
          <w:rFonts w:ascii="Calibri" w:cs="Calibri" w:eastAsia="Calibri" w:hAnsi="Calibri"/>
          <w:b/>
          <w:bCs/>
          <w:color w:val="B08D57"/>
          <w:sz w:val="22"/>
          <w:szCs w:val="22"/>
        </w:rPr>
        <w:t xml:space="preserve">3    </w:t>
      </w:r>
      <w:r>
        <w:rPr>
          <w:rFonts w:ascii="Calibri" w:cs="Calibri" w:eastAsia="Calibri" w:hAnsi="Calibri"/>
          <w:color w:val="222222"/>
          <w:sz w:val="22"/>
          <w:szCs w:val="22"/>
        </w:rPr>
        <w:t xml:space="preserve">How to Use This Toolkit</w:t>
      </w:r>
      <w:r>
        <w:rPr>
          <w:rFonts w:ascii="Calibri" w:cs="Calibri" w:eastAsia="Calibri" w:hAnsi="Calibri"/>
          <w:color w:val="6B6B6B"/>
          <w:sz w:val="22"/>
          <w:szCs w:val="22"/>
        </w:rPr>
        <w:t xml:space="preserve">	5</w:t>
      </w:r>
    </w:p>
    <w:p>
      <w:pPr>
        <w:tabs>
          <w:tab w:val="right" w:pos="9026" w:leader="dot"/>
        </w:tabs>
        <w:spacing w:after="180"/>
        <w:ind w:left="260" w:hanging="260"/>
      </w:pPr>
      <w:r>
        <w:rPr>
          <w:rFonts w:ascii="Calibri" w:cs="Calibri" w:eastAsia="Calibri" w:hAnsi="Calibri"/>
          <w:b/>
          <w:bCs/>
          <w:color w:val="B08D57"/>
          <w:sz w:val="22"/>
          <w:szCs w:val="22"/>
        </w:rPr>
        <w:t xml:space="preserve">4    </w:t>
      </w:r>
      <w:r>
        <w:rPr>
          <w:rFonts w:ascii="Calibri" w:cs="Calibri" w:eastAsia="Calibri" w:hAnsi="Calibri"/>
          <w:color w:val="222222"/>
          <w:sz w:val="22"/>
          <w:szCs w:val="22"/>
        </w:rPr>
        <w:t xml:space="preserve">The Authenticity Rule</w:t>
      </w:r>
      <w:r>
        <w:rPr>
          <w:rFonts w:ascii="Calibri" w:cs="Calibri" w:eastAsia="Calibri" w:hAnsi="Calibri"/>
          <w:color w:val="6B6B6B"/>
          <w:sz w:val="22"/>
          <w:szCs w:val="22"/>
        </w:rPr>
        <w:t xml:space="preserve">	6</w:t>
      </w:r>
    </w:p>
    <w:p>
      <w:pPr>
        <w:tabs>
          <w:tab w:val="right" w:pos="9026" w:leader="dot"/>
        </w:tabs>
        <w:spacing w:after="180"/>
        <w:ind w:left="260" w:hanging="260"/>
      </w:pPr>
      <w:r>
        <w:rPr>
          <w:rFonts w:ascii="Calibri" w:cs="Calibri" w:eastAsia="Calibri" w:hAnsi="Calibri"/>
          <w:b/>
          <w:bCs/>
          <w:color w:val="B08D57"/>
          <w:sz w:val="22"/>
          <w:szCs w:val="22"/>
        </w:rPr>
        <w:t xml:space="preserve">5    </w:t>
      </w:r>
      <w:r>
        <w:rPr>
          <w:rFonts w:ascii="Calibri" w:cs="Calibri" w:eastAsia="Calibri" w:hAnsi="Calibri"/>
          <w:color w:val="222222"/>
          <w:sz w:val="22"/>
          <w:szCs w:val="22"/>
        </w:rPr>
        <w:t xml:space="preserve">Module 1 — Process Documentation Templates</w:t>
      </w:r>
      <w:r>
        <w:rPr>
          <w:rFonts w:ascii="Calibri" w:cs="Calibri" w:eastAsia="Calibri" w:hAnsi="Calibri"/>
          <w:color w:val="6B6B6B"/>
          <w:sz w:val="22"/>
          <w:szCs w:val="22"/>
        </w:rPr>
        <w:t xml:space="preserve">	7</w:t>
      </w:r>
    </w:p>
    <w:p>
      <w:pPr>
        <w:tabs>
          <w:tab w:val="right" w:pos="9026" w:leader="dot"/>
        </w:tabs>
        <w:spacing w:after="180"/>
        <w:ind w:left="260" w:hanging="260"/>
      </w:pPr>
      <w:r>
        <w:rPr>
          <w:rFonts w:ascii="Calibri" w:cs="Calibri" w:eastAsia="Calibri" w:hAnsi="Calibri"/>
          <w:b/>
          <w:bCs/>
          <w:color w:val="B08D57"/>
          <w:sz w:val="22"/>
          <w:szCs w:val="22"/>
        </w:rPr>
        <w:t xml:space="preserve">6    </w:t>
      </w:r>
      <w:r>
        <w:rPr>
          <w:rFonts w:ascii="Calibri" w:cs="Calibri" w:eastAsia="Calibri" w:hAnsi="Calibri"/>
          <w:color w:val="222222"/>
          <w:sz w:val="22"/>
          <w:szCs w:val="22"/>
        </w:rPr>
        <w:t xml:space="preserve">Module 2 — The Behind-the-Take Content Calendar</w:t>
      </w:r>
      <w:r>
        <w:rPr>
          <w:rFonts w:ascii="Calibri" w:cs="Calibri" w:eastAsia="Calibri" w:hAnsi="Calibri"/>
          <w:color w:val="6B6B6B"/>
          <w:sz w:val="22"/>
          <w:szCs w:val="22"/>
        </w:rPr>
        <w:t xml:space="preserve">	8</w:t>
      </w:r>
    </w:p>
    <w:p>
      <w:pPr>
        <w:tabs>
          <w:tab w:val="right" w:pos="9026" w:leader="dot"/>
        </w:tabs>
        <w:spacing w:after="180"/>
        <w:ind w:left="260" w:hanging="260"/>
      </w:pPr>
      <w:r>
        <w:rPr>
          <w:rFonts w:ascii="Calibri" w:cs="Calibri" w:eastAsia="Calibri" w:hAnsi="Calibri"/>
          <w:b/>
          <w:bCs/>
          <w:color w:val="B08D57"/>
          <w:sz w:val="22"/>
          <w:szCs w:val="22"/>
        </w:rPr>
        <w:t xml:space="preserve">7    </w:t>
      </w:r>
      <w:r>
        <w:rPr>
          <w:rFonts w:ascii="Calibri" w:cs="Calibri" w:eastAsia="Calibri" w:hAnsi="Calibri"/>
          <w:color w:val="222222"/>
          <w:sz w:val="22"/>
          <w:szCs w:val="22"/>
        </w:rPr>
        <w:t xml:space="preserve">Module 3 — Bio &amp; EPK Language Pack</w:t>
      </w:r>
      <w:r>
        <w:rPr>
          <w:rFonts w:ascii="Calibri" w:cs="Calibri" w:eastAsia="Calibri" w:hAnsi="Calibri"/>
          <w:color w:val="6B6B6B"/>
          <w:sz w:val="22"/>
          <w:szCs w:val="22"/>
        </w:rPr>
        <w:t xml:space="preserve">	9</w:t>
      </w:r>
    </w:p>
    <w:p>
      <w:pPr>
        <w:tabs>
          <w:tab w:val="right" w:pos="9026" w:leader="dot"/>
        </w:tabs>
        <w:spacing w:after="180"/>
        <w:ind w:left="260" w:hanging="260"/>
      </w:pPr>
      <w:r>
        <w:rPr>
          <w:rFonts w:ascii="Calibri" w:cs="Calibri" w:eastAsia="Calibri" w:hAnsi="Calibri"/>
          <w:b/>
          <w:bCs/>
          <w:color w:val="B08D57"/>
          <w:sz w:val="22"/>
          <w:szCs w:val="22"/>
        </w:rPr>
        <w:t xml:space="preserve">8    </w:t>
      </w:r>
      <w:r>
        <w:rPr>
          <w:rFonts w:ascii="Calibri" w:cs="Calibri" w:eastAsia="Calibri" w:hAnsi="Calibri"/>
          <w:color w:val="222222"/>
          <w:sz w:val="22"/>
          <w:szCs w:val="22"/>
        </w:rPr>
        <w:t xml:space="preserve">Module 4 — Platform Playbook</w:t>
      </w:r>
      <w:r>
        <w:rPr>
          <w:rFonts w:ascii="Calibri" w:cs="Calibri" w:eastAsia="Calibri" w:hAnsi="Calibri"/>
          <w:color w:val="6B6B6B"/>
          <w:sz w:val="22"/>
          <w:szCs w:val="22"/>
        </w:rPr>
        <w:t xml:space="preserve">	10</w:t>
      </w:r>
    </w:p>
    <w:p>
      <w:pPr>
        <w:tabs>
          <w:tab w:val="right" w:pos="9026" w:leader="dot"/>
        </w:tabs>
        <w:spacing w:after="180"/>
        <w:ind w:left="260" w:hanging="260"/>
      </w:pPr>
      <w:r>
        <w:rPr>
          <w:rFonts w:ascii="Calibri" w:cs="Calibri" w:eastAsia="Calibri" w:hAnsi="Calibri"/>
          <w:b/>
          <w:bCs/>
          <w:color w:val="B08D57"/>
          <w:sz w:val="22"/>
          <w:szCs w:val="22"/>
        </w:rPr>
        <w:t xml:space="preserve">9    </w:t>
      </w:r>
      <w:r>
        <w:rPr>
          <w:rFonts w:ascii="Calibri" w:cs="Calibri" w:eastAsia="Calibri" w:hAnsi="Calibri"/>
          <w:color w:val="222222"/>
          <w:sz w:val="22"/>
          <w:szCs w:val="22"/>
        </w:rPr>
        <w:t xml:space="preserve">Quick-Start Checklist</w:t>
      </w:r>
      <w:r>
        <w:rPr>
          <w:rFonts w:ascii="Calibri" w:cs="Calibri" w:eastAsia="Calibri" w:hAnsi="Calibri"/>
          <w:color w:val="6B6B6B"/>
          <w:sz w:val="22"/>
          <w:szCs w:val="22"/>
        </w:rPr>
        <w:t xml:space="preserve">	11</w:t>
      </w:r>
    </w:p>
    <w:p>
      <w:pPr>
        <w:tabs>
          <w:tab w:val="right" w:pos="9026" w:leader="dot"/>
        </w:tabs>
        <w:spacing w:after="180"/>
        <w:ind w:left="260" w:hanging="260"/>
      </w:pPr>
      <w:r>
        <w:rPr>
          <w:rFonts w:ascii="Calibri" w:cs="Calibri" w:eastAsia="Calibri" w:hAnsi="Calibri"/>
          <w:b/>
          <w:bCs/>
          <w:color w:val="B08D57"/>
          <w:sz w:val="22"/>
          <w:szCs w:val="22"/>
        </w:rPr>
        <w:t xml:space="preserve">10  </w:t>
      </w:r>
      <w:r>
        <w:rPr>
          <w:rFonts w:ascii="Calibri" w:cs="Calibri" w:eastAsia="Calibri" w:hAnsi="Calibri"/>
          <w:color w:val="222222"/>
          <w:sz w:val="22"/>
          <w:szCs w:val="22"/>
        </w:rPr>
        <w:t xml:space="preserve">For Every New Release</w:t>
      </w:r>
      <w:r>
        <w:rPr>
          <w:rFonts w:ascii="Calibri" w:cs="Calibri" w:eastAsia="Calibri" w:hAnsi="Calibri"/>
          <w:color w:val="6B6B6B"/>
          <w:sz w:val="22"/>
          <w:szCs w:val="22"/>
        </w:rPr>
        <w:t xml:space="preserve">	12</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1 · Why This Toolkit Exists</w:t>
      </w:r>
    </w:p>
    <w:p>
      <w:pPr>
        <w:spacing w:after="160" w:line="288"/>
      </w:pPr>
      <w:r>
        <w:rPr>
          <w:rFonts w:ascii="Calibri" w:cs="Calibri" w:eastAsia="Calibri" w:hAnsi="Calibri"/>
          <w:i w:val="false"/>
          <w:iCs w:val="false"/>
          <w:color w:val="222222"/>
          <w:sz w:val="22"/>
          <w:szCs w:val="22"/>
        </w:rPr>
        <w:t xml:space="preserve">Generative AI has changed what it means to release music. Being good is no longer enough on its own — an increasing share of what listeners scroll past was never made by a person at all, and platforms are actively building tools to help audiences tell the difference.</w:t>
      </w:r>
    </w:p>
    <w:p>
      <w:pPr>
        <w:spacing w:after="100" w:before="220"/>
      </w:pPr>
      <w:r>
        <w:rPr>
          <w:rFonts w:ascii="Calibri" w:cs="Calibri" w:eastAsia="Calibri" w:hAnsi="Calibri"/>
          <w:b/>
          <w:bCs/>
          <w:color w:val="B08D57"/>
          <w:sz w:val="22"/>
          <w:szCs w:val="22"/>
        </w:rPr>
        <w:t xml:space="preserve">The Market Reality</w:t>
      </w:r>
    </w:p>
    <w:p>
      <w:pPr>
        <w:pStyle w:val="ListParagraph"/>
        <w:numPr>
          <w:ilvl w:val="0"/>
          <w:numId w:val="2"/>
        </w:numPr>
        <w:spacing w:after="90" w:line="276"/>
      </w:pPr>
      <w:r>
        <w:rPr>
          <w:rFonts w:ascii="Calibri" w:cs="Calibri" w:eastAsia="Calibri" w:hAnsi="Calibri"/>
          <w:color w:val="222222"/>
          <w:sz w:val="22"/>
          <w:szCs w:val="22"/>
        </w:rPr>
        <w:t xml:space="preserve">Deezer — one of the few platforms that publishes this data — reported in July 2026 that AI-generated tracks had passed 50% of its daily uploads (around 90,000 tracks a day), up from 44% just three months earlier.</w:t>
      </w:r>
    </w:p>
    <w:p>
      <w:pPr>
        <w:pStyle w:val="ListParagraph"/>
        <w:numPr>
          <w:ilvl w:val="0"/>
          <w:numId w:val="2"/>
        </w:numPr>
        <w:spacing w:after="90" w:line="276"/>
      </w:pPr>
      <w:r>
        <w:rPr>
          <w:rFonts w:ascii="Calibri" w:cs="Calibri" w:eastAsia="Calibri" w:hAnsi="Calibri"/>
          <w:color w:val="222222"/>
          <w:sz w:val="22"/>
          <w:szCs w:val="22"/>
        </w:rPr>
        <w:t xml:space="preserve">Deezer also reports that roughly 85% of streams on those AI-generated tracks are flagged as fraudulent and demonetized, meaning synthetic content is disproportionately tied to stream manipulation on the platforms that actively track it.</w:t>
      </w:r>
    </w:p>
    <w:p>
      <w:pPr>
        <w:pStyle w:val="ListParagraph"/>
        <w:numPr>
          <w:ilvl w:val="0"/>
          <w:numId w:val="2"/>
        </w:numPr>
        <w:spacing w:after="90" w:line="276"/>
      </w:pPr>
      <w:r>
        <w:rPr>
          <w:rFonts w:ascii="Calibri" w:cs="Calibri" w:eastAsia="Calibri" w:hAnsi="Calibri"/>
          <w:color w:val="222222"/>
          <w:sz w:val="22"/>
          <w:szCs w:val="22"/>
        </w:rPr>
        <w:t xml:space="preserve">Consumer research from Luminate has tracked listener sentiment toward AI-generated music as net negative since it began surveying the question in 2025, with the trend growing more negative over time — most sharply among Gen Z and Gen Alpha listeners.</w:t>
      </w:r>
    </w:p>
    <w:p>
      <w:pPr>
        <w:pStyle w:val="ListParagraph"/>
        <w:numPr>
          <w:ilvl w:val="0"/>
          <w:numId w:val="2"/>
        </w:numPr>
        <w:spacing w:after="90" w:line="276"/>
      </w:pPr>
      <w:r>
        <w:rPr>
          <w:rFonts w:ascii="Calibri" w:cs="Calibri" w:eastAsia="Calibri" w:hAnsi="Calibri"/>
          <w:color w:val="222222"/>
          <w:sz w:val="22"/>
          <w:szCs w:val="22"/>
        </w:rPr>
        <w:t xml:space="preserve">Major platforms are responding directly: through 2026, Spotify introduced optional AI disclosure credits, an AI Persona identity badge, and artist profile-protection tools aimed at reducing listener confusion and misattributed music.</w:t>
      </w:r>
    </w:p>
    <w:p>
      <w:pPr>
        <w:spacing w:after="60"/>
      </w:pPr>
    </w:p>
    <w:p>
      <w:pPr>
        <w:spacing w:after="160" w:line="260"/>
      </w:pPr>
      <w:r>
        <w:rPr>
          <w:rFonts w:ascii="Calibri" w:cs="Calibri" w:eastAsia="Calibri" w:hAnsi="Calibri"/>
          <w:i/>
          <w:iCs/>
          <w:color w:val="6B6B6B"/>
          <w:sz w:val="17"/>
          <w:szCs w:val="17"/>
        </w:rPr>
        <w:t xml:space="preserve">Figures above reflect publicly reported data as of mid-2026 and are cited to their original source. This is a fast-moving area — treat these numbers as a snapshot of a clear trend, not a fixed baseline, and check current figures before quoting them elsewhere.</w:t>
      </w:r>
    </w:p>
    <w:p>
      <w:pPr>
        <w:spacing w:after="4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THE OPPORTUNITY</w:t>
            </w:r>
          </w:p>
          <w:p>
            <w:pPr>
              <w:spacing w:after="40"/>
            </w:pPr>
            <w:r>
              <w:rPr>
                <w:rFonts w:ascii="Calibri" w:cs="Calibri" w:eastAsia="Calibri" w:hAnsi="Calibri"/>
                <w:color w:val="222222"/>
                <w:sz w:val="20"/>
                <w:szCs w:val="20"/>
              </w:rPr>
              <w:t xml:space="preserve">When a market is flooded with synthetic content, proof of human authorship stops being a nice-to-have detail and becomes a competitive advantage. Artists who can visibly and honestly demonstrate their creative process have a promotional edge that generic AI output cannot replicate — but almost no one is doing this deliberately or consistently.</w:t>
            </w:r>
          </w:p>
        </w:tc>
      </w:tr>
    </w:tbl>
    <w:p>
      <w:pPr>
        <w:spacing w:after="120"/>
      </w:pPr>
    </w:p>
    <w:p>
      <w:pPr>
        <w:spacing w:after="160" w:line="288"/>
      </w:pPr>
      <w:r>
        <w:rPr>
          <w:rFonts w:ascii="Calibri" w:cs="Calibri" w:eastAsia="Calibri" w:hAnsi="Calibri"/>
          <w:i w:val="false"/>
          <w:iCs w:val="false"/>
          <w:color w:val="222222"/>
          <w:sz w:val="22"/>
          <w:szCs w:val="22"/>
        </w:rPr>
        <w:t xml:space="preserve">This toolkit exists to close that gap. It gives independent artists a structured, repeatable way to turn their real creative process into promotional material — content that builds trust, differentiates them in a crowded feed, and gives listeners an honest reason to invest in them as a person, not just a track.</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2 · What You'll Have When You Finish</w:t>
      </w:r>
    </w:p>
    <w:p>
      <w:pPr>
        <w:spacing w:after="160" w:line="288"/>
      </w:pPr>
      <w:r>
        <w:rPr>
          <w:rFonts w:ascii="Calibri" w:cs="Calibri" w:eastAsia="Calibri" w:hAnsi="Calibri"/>
          <w:i w:val="false"/>
          <w:iCs w:val="false"/>
          <w:color w:val="222222"/>
          <w:sz w:val="22"/>
          <w:szCs w:val="22"/>
        </w:rPr>
        <w:t xml:space="preserve">This toolkit is built to produce concrete, reusable assets — not just ideas. By the time you've worked through all four modules, you will have:</w:t>
      </w:r>
    </w:p>
    <w:p>
      <w:pPr>
        <w:pStyle w:val="ListParagraph"/>
        <w:numPr>
          <w:ilvl w:val="0"/>
          <w:numId w:val="2"/>
        </w:numPr>
        <w:spacing w:after="90" w:line="276"/>
      </w:pPr>
      <w:r>
        <w:rPr>
          <w:rFonts w:ascii="Calibri" w:cs="Calibri" w:eastAsia="Calibri" w:hAnsi="Calibri"/>
          <w:color w:val="222222"/>
          <w:sz w:val="22"/>
          <w:szCs w:val="22"/>
        </w:rPr>
        <w:t xml:space="preserve">A Proof Bank — a growing folder of authentic creative-process material you can draw on for every release.</w:t>
      </w:r>
    </w:p>
    <w:p>
      <w:pPr>
        <w:pStyle w:val="ListParagraph"/>
        <w:numPr>
          <w:ilvl w:val="0"/>
          <w:numId w:val="2"/>
        </w:numPr>
        <w:spacing w:after="90" w:line="276"/>
      </w:pPr>
      <w:r>
        <w:rPr>
          <w:rFonts w:ascii="Calibri" w:cs="Calibri" w:eastAsia="Calibri" w:hAnsi="Calibri"/>
          <w:color w:val="222222"/>
          <w:sz w:val="22"/>
          <w:szCs w:val="22"/>
        </w:rPr>
        <w:t xml:space="preserve">A repeatable content system — a simple weekly rhythm for turning that material into posts, without starting from scratch each time.</w:t>
      </w:r>
    </w:p>
    <w:p>
      <w:pPr>
        <w:pStyle w:val="ListParagraph"/>
        <w:numPr>
          <w:ilvl w:val="0"/>
          <w:numId w:val="2"/>
        </w:numPr>
        <w:spacing w:after="90" w:line="276"/>
      </w:pPr>
      <w:r>
        <w:rPr>
          <w:rFonts w:ascii="Calibri" w:cs="Calibri" w:eastAsia="Calibri" w:hAnsi="Calibri"/>
          <w:color w:val="222222"/>
          <w:sz w:val="22"/>
          <w:szCs w:val="22"/>
        </w:rPr>
        <w:t xml:space="preserve">Authenticity-focused bio language — a rewritten artist bio and social copy that leads with your real process.</w:t>
      </w:r>
    </w:p>
    <w:p>
      <w:pPr>
        <w:pStyle w:val="ListParagraph"/>
        <w:numPr>
          <w:ilvl w:val="0"/>
          <w:numId w:val="2"/>
        </w:numPr>
        <w:spacing w:after="90" w:line="276"/>
      </w:pPr>
      <w:r>
        <w:rPr>
          <w:rFonts w:ascii="Calibri" w:cs="Calibri" w:eastAsia="Calibri" w:hAnsi="Calibri"/>
          <w:color w:val="222222"/>
          <w:sz w:val="22"/>
          <w:szCs w:val="22"/>
        </w:rPr>
        <w:t xml:space="preserve">EPK messaging — press-kit language that gives press, playlisters, and partners a clear, honest sense of who made the music.</w:t>
      </w:r>
    </w:p>
    <w:p>
      <w:pPr>
        <w:pStyle w:val="ListParagraph"/>
        <w:numPr>
          <w:ilvl w:val="0"/>
          <w:numId w:val="2"/>
        </w:numPr>
        <w:spacing w:after="90" w:line="276"/>
      </w:pPr>
      <w:r>
        <w:rPr>
          <w:rFonts w:ascii="Calibri" w:cs="Calibri" w:eastAsia="Calibri" w:hAnsi="Calibri"/>
          <w:color w:val="222222"/>
          <w:sz w:val="22"/>
          <w:szCs w:val="22"/>
        </w:rPr>
        <w:t xml:space="preserve">A platform and disclosure review habit — a short checklist for keeping your metadata and disclosures accurate as platform tools evolve.</w:t>
      </w:r>
    </w:p>
    <w:p>
      <w:pPr>
        <w:pStyle w:val="ListParagraph"/>
        <w:numPr>
          <w:ilvl w:val="0"/>
          <w:numId w:val="2"/>
        </w:numPr>
        <w:spacing w:after="90" w:line="276"/>
      </w:pPr>
      <w:r>
        <w:rPr>
          <w:rFonts w:ascii="Calibri" w:cs="Calibri" w:eastAsia="Calibri" w:hAnsi="Calibri"/>
          <w:color w:val="222222"/>
          <w:sz w:val="22"/>
          <w:szCs w:val="22"/>
        </w:rPr>
        <w:t xml:space="preserve">A repeatable release-promotion framework — a system you run again for every future release, not a one-time exercise.</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3 · How to Use This Toolkit</w:t>
      </w:r>
    </w:p>
    <w:p>
      <w:pPr>
        <w:spacing w:after="160" w:line="288"/>
      </w:pPr>
      <w:r>
        <w:rPr>
          <w:rFonts w:ascii="Calibri" w:cs="Calibri" w:eastAsia="Calibri" w:hAnsi="Calibri"/>
          <w:i w:val="false"/>
          <w:iCs w:val="false"/>
          <w:color w:val="222222"/>
          <w:sz w:val="22"/>
          <w:szCs w:val="22"/>
        </w:rPr>
        <w:t xml:space="preserve">This toolkit is built to be used in sequence, alongside a single release or as an ongoing part of an artist's content strategy. Each module stands alone, but they compound when used together.</w:t>
      </w:r>
    </w:p>
    <w:p>
      <w:pPr>
        <w:spacing w:after="100" w:before="220"/>
      </w:pPr>
      <w:r>
        <w:rPr>
          <w:rFonts w:ascii="Calibri" w:cs="Calibri" w:eastAsia="Calibri" w:hAnsi="Calibri"/>
          <w:b/>
          <w:bCs/>
          <w:color w:val="B08D57"/>
          <w:sz w:val="22"/>
          <w:szCs w:val="22"/>
        </w:rPr>
        <w:t xml:space="preserve">The Four Modules</w:t>
      </w:r>
    </w:p>
    <w:tbl>
      <w:tblPr>
        <w:tblW w:type="dxa" w:w="9960"/>
        <w:tblBorders>
          <w:top w:val="single" w:color="CCCCCC" w:sz="4"/>
          <w:left w:val="single" w:color="CCCCCC" w:sz="4"/>
          <w:bottom w:val="single" w:color="CCCCCC" w:sz="4"/>
          <w:right w:val="single" w:color="CCCCCC" w:sz="4"/>
          <w:insideH w:val="single" w:color="DDDDDD" w:sz="4"/>
          <w:insideV w:val="single" w:color="DDDDDD" w:sz="4"/>
        </w:tblBorders>
      </w:tblPr>
      <w:tblGrid>
        <w:gridCol w:w="3200"/>
        <w:gridCol w:w="4400"/>
        <w:gridCol w:w="2360"/>
      </w:tblGrid>
      <w:tr>
        <w:trPr>
          <w:tblHeader/>
        </w:trPr>
        <w:tc>
          <w:tcPr>
            <w:tcW w:type="dxa" w:w="32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Module</w:t>
            </w:r>
          </w:p>
        </w:tc>
        <w:tc>
          <w:tcPr>
            <w:tcW w:type="dxa" w:w="44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Purpose</w:t>
            </w:r>
          </w:p>
        </w:tc>
        <w:tc>
          <w:tcPr>
            <w:tcW w:type="dxa" w:w="236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Time to Implement</w:t>
            </w:r>
          </w:p>
        </w:tc>
      </w:tr>
      <w:tr>
        <w:tc>
          <w:tcPr>
            <w:tcW w:type="dxa" w:w="32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1. Process Documentation</w:t>
            </w:r>
          </w:p>
        </w:tc>
        <w:tc>
          <w:tcPr>
            <w:tcW w:type="dxa" w:w="44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Capture raw creative process as it happens, so there is always authentic material to draw from</w:t>
            </w:r>
          </w:p>
        </w:tc>
        <w:tc>
          <w:tcPr>
            <w:tcW w:type="dxa" w:w="23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5–10 min per session</w:t>
            </w:r>
          </w:p>
        </w:tc>
      </w:tr>
      <w:tr>
        <w:tc>
          <w:tcPr>
            <w:tcW w:type="dxa" w:w="32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2. Behind-the-Take Calendar</w:t>
            </w:r>
          </w:p>
        </w:tc>
        <w:tc>
          <w:tcPr>
            <w:tcW w:type="dxa" w:w="44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Turn captured process into a consistent content posting rhythm</w:t>
            </w:r>
          </w:p>
        </w:tc>
        <w:tc>
          <w:tcPr>
            <w:tcW w:type="dxa" w:w="23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30 min setup, then weekly</w:t>
            </w:r>
          </w:p>
        </w:tc>
      </w:tr>
      <w:tr>
        <w:tc>
          <w:tcPr>
            <w:tcW w:type="dxa" w:w="32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3. Bio &amp; EPK Language Pack</w:t>
            </w:r>
          </w:p>
        </w:tc>
        <w:tc>
          <w:tcPr>
            <w:tcW w:type="dxa" w:w="44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Reposition the artist's bio, socials, and press kit around honest process and authenticity</w:t>
            </w:r>
          </w:p>
        </w:tc>
        <w:tc>
          <w:tcPr>
            <w:tcW w:type="dxa" w:w="23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1–2 hours, one-time</w:t>
            </w:r>
          </w:p>
        </w:tc>
      </w:tr>
      <w:tr>
        <w:tc>
          <w:tcPr>
            <w:tcW w:type="dxa" w:w="32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4. Platform Playbook</w:t>
            </w:r>
          </w:p>
        </w:tc>
        <w:tc>
          <w:tcPr>
            <w:tcW w:type="dxa" w:w="44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Use current platform tools for accurate disclosure and identity protection</w:t>
            </w:r>
          </w:p>
        </w:tc>
        <w:tc>
          <w:tcPr>
            <w:tcW w:type="dxa" w:w="23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30–60 min, one-time</w:t>
            </w:r>
          </w:p>
        </w:tc>
      </w:tr>
    </w:tbl>
    <w:p>
      <w:pPr>
        <w:spacing w:after="160"/>
      </w:pPr>
    </w:p>
    <w:p>
      <w:pPr>
        <w:spacing w:after="100" w:before="220"/>
      </w:pPr>
      <w:r>
        <w:rPr>
          <w:rFonts w:ascii="Calibri" w:cs="Calibri" w:eastAsia="Calibri" w:hAnsi="Calibri"/>
          <w:b/>
          <w:bCs/>
          <w:color w:val="B08D57"/>
          <w:sz w:val="22"/>
          <w:szCs w:val="22"/>
        </w:rPr>
        <w:t xml:space="preserve">Recommended Sequence</w:t>
      </w:r>
    </w:p>
    <w:p>
      <w:pPr>
        <w:pStyle w:val="ListParagraph"/>
        <w:numPr>
          <w:ilvl w:val="0"/>
          <w:numId w:val="3"/>
        </w:numPr>
        <w:spacing w:after="90" w:line="276"/>
      </w:pPr>
      <w:r>
        <w:rPr>
          <w:rFonts w:ascii="Calibri" w:cs="Calibri" w:eastAsia="Calibri" w:hAnsi="Calibri"/>
          <w:color w:val="222222"/>
          <w:sz w:val="22"/>
          <w:szCs w:val="22"/>
        </w:rPr>
        <w:t xml:space="preserve">Read the Authenticity Rule (Section 4) — it sets the standard everything else in this toolkit follows.</w:t>
      </w:r>
    </w:p>
    <w:p>
      <w:pPr>
        <w:pStyle w:val="ListParagraph"/>
        <w:numPr>
          <w:ilvl w:val="0"/>
          <w:numId w:val="3"/>
        </w:numPr>
        <w:spacing w:after="90" w:line="276"/>
      </w:pPr>
      <w:r>
        <w:rPr>
          <w:rFonts w:ascii="Calibri" w:cs="Calibri" w:eastAsia="Calibri" w:hAnsi="Calibri"/>
          <w:color w:val="222222"/>
          <w:sz w:val="22"/>
          <w:szCs w:val="22"/>
        </w:rPr>
        <w:t xml:space="preserve">Set up Module 1 as a habit before your next studio or writing session.</w:t>
      </w:r>
    </w:p>
    <w:p>
      <w:pPr>
        <w:pStyle w:val="ListParagraph"/>
        <w:numPr>
          <w:ilvl w:val="0"/>
          <w:numId w:val="3"/>
        </w:numPr>
        <w:spacing w:after="90" w:line="276"/>
      </w:pPr>
      <w:r>
        <w:rPr>
          <w:rFonts w:ascii="Calibri" w:cs="Calibri" w:eastAsia="Calibri" w:hAnsi="Calibri"/>
          <w:color w:val="222222"/>
          <w:sz w:val="22"/>
          <w:szCs w:val="22"/>
        </w:rPr>
        <w:t xml:space="preserve">Review Module 4 and confirm your current platform and distributor disclosure settings.</w:t>
      </w:r>
    </w:p>
    <w:p>
      <w:pPr>
        <w:pStyle w:val="ListParagraph"/>
        <w:numPr>
          <w:ilvl w:val="0"/>
          <w:numId w:val="3"/>
        </w:numPr>
        <w:spacing w:after="90" w:line="276"/>
      </w:pPr>
      <w:r>
        <w:rPr>
          <w:rFonts w:ascii="Calibri" w:cs="Calibri" w:eastAsia="Calibri" w:hAnsi="Calibri"/>
          <w:color w:val="222222"/>
          <w:sz w:val="22"/>
          <w:szCs w:val="22"/>
        </w:rPr>
        <w:t xml:space="preserve">Rewrite your bio and EPK using Module 3 once you have language you're happy with.</w:t>
      </w:r>
    </w:p>
    <w:p>
      <w:pPr>
        <w:pStyle w:val="ListParagraph"/>
        <w:numPr>
          <w:ilvl w:val="0"/>
          <w:numId w:val="3"/>
        </w:numPr>
        <w:spacing w:after="90" w:line="276"/>
      </w:pPr>
      <w:r>
        <w:rPr>
          <w:rFonts w:ascii="Calibri" w:cs="Calibri" w:eastAsia="Calibri" w:hAnsi="Calibri"/>
          <w:color w:val="222222"/>
          <w:sz w:val="22"/>
          <w:szCs w:val="22"/>
        </w:rPr>
        <w:t xml:space="preserve">Build your first four-week content run using Module 2, feeding it with material from Module 1.</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4 · The Authenticity Rule</w:t>
      </w:r>
    </w:p>
    <w:p>
      <w:pPr>
        <w:spacing w:after="160" w:line="288"/>
      </w:pPr>
      <w:r>
        <w:rPr>
          <w:rFonts w:ascii="Calibri" w:cs="Calibri" w:eastAsia="Calibri" w:hAnsi="Calibri"/>
          <w:i w:val="false"/>
          <w:iCs w:val="false"/>
          <w:color w:val="222222"/>
          <w:sz w:val="22"/>
          <w:szCs w:val="22"/>
        </w:rPr>
        <w:t xml:space="preserve">Everything in this toolkit rests on one principle. Keep it visible while you work through the rest of the system.</w:t>
      </w:r>
    </w:p>
    <w:p>
      <w:pPr>
        <w:spacing w:after="6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THE AUTHENTICITY RULE</w:t>
            </w:r>
          </w:p>
          <w:p>
            <w:pPr>
              <w:spacing w:after="40"/>
            </w:pPr>
            <w:r>
              <w:rPr>
                <w:rFonts w:ascii="Calibri" w:cs="Calibri" w:eastAsia="Calibri" w:hAnsi="Calibri"/>
                <w:color w:val="222222"/>
                <w:sz w:val="20"/>
                <w:szCs w:val="20"/>
              </w:rPr>
              <w:t xml:space="preserve">Only claim what you can prove.</w:t>
            </w:r>
          </w:p>
          <w:p>
            <w:pPr>
              <w:spacing w:after="40"/>
            </w:pPr>
            <w:r>
              <w:rPr>
                <w:rFonts w:ascii="Calibri" w:cs="Calibri" w:eastAsia="Calibri" w:hAnsi="Calibri"/>
                <w:color w:val="222222"/>
                <w:sz w:val="20"/>
                <w:szCs w:val="20"/>
              </w:rPr>
              <w:t xml:space="preserve">If you used AI, disclose it where your platform or distributor requires it.</w:t>
            </w:r>
          </w:p>
          <w:p>
            <w:pPr>
              <w:spacing w:after="40"/>
            </w:pPr>
            <w:r>
              <w:rPr>
                <w:rFonts w:ascii="Calibri" w:cs="Calibri" w:eastAsia="Calibri" w:hAnsi="Calibri"/>
                <w:color w:val="222222"/>
                <w:sz w:val="20"/>
                <w:szCs w:val="20"/>
              </w:rPr>
              <w:t xml:space="preserve">If you didn't, document your process.</w:t>
            </w:r>
          </w:p>
          <w:p>
            <w:pPr>
              <w:spacing w:after="40"/>
            </w:pPr>
            <w:r>
              <w:rPr>
                <w:rFonts w:ascii="Calibri" w:cs="Calibri" w:eastAsia="Calibri" w:hAnsi="Calibri"/>
                <w:color w:val="222222"/>
                <w:sz w:val="20"/>
                <w:szCs w:val="20"/>
              </w:rPr>
              <w:t xml:space="preserve">If you collaborated with other people, credit them.</w:t>
            </w:r>
          </w:p>
          <w:p>
            <w:pPr>
              <w:spacing w:after="40"/>
            </w:pPr>
            <w:r>
              <w:rPr>
                <w:rFonts w:ascii="Calibri" w:cs="Calibri" w:eastAsia="Calibri" w:hAnsi="Calibri"/>
                <w:color w:val="222222"/>
                <w:sz w:val="20"/>
                <w:szCs w:val="20"/>
              </w:rPr>
              <w:t xml:space="preserve">Your promotional story should match your actual creative process — no more, no less.</w:t>
            </w:r>
          </w:p>
        </w:tc>
      </w:tr>
    </w:tbl>
    <w:p>
      <w:pPr>
        <w:spacing w:after="140"/>
      </w:pPr>
    </w:p>
    <w:p>
      <w:pPr>
        <w:spacing w:after="100" w:before="220"/>
      </w:pPr>
      <w:r>
        <w:rPr>
          <w:rFonts w:ascii="Calibri" w:cs="Calibri" w:eastAsia="Calibri" w:hAnsi="Calibri"/>
          <w:b/>
          <w:bCs/>
          <w:color w:val="B08D57"/>
          <w:sz w:val="22"/>
          <w:szCs w:val="22"/>
        </w:rPr>
        <w:t xml:space="preserve">A Note on AI-Assisted Artists</w:t>
      </w:r>
    </w:p>
    <w:p>
      <w:pPr>
        <w:spacing w:after="160" w:line="288"/>
      </w:pPr>
      <w:r>
        <w:rPr>
          <w:rFonts w:ascii="Calibri" w:cs="Calibri" w:eastAsia="Calibri" w:hAnsi="Calibri"/>
          <w:i w:val="false"/>
          <w:iCs w:val="false"/>
          <w:color w:val="222222"/>
          <w:sz w:val="22"/>
          <w:szCs w:val="22"/>
        </w:rPr>
        <w:t xml:space="preserve">This toolkit is not built on the idea that AI is fake and human is automatically better. Plenty of legitimate artists use AI tools somewhere in their workflow — for arrangement, editing, mixing assistance, or early ideas — while still doing the creative work that makes a song theirs.</w:t>
      </w:r>
    </w:p>
    <w:p>
      <w:pPr>
        <w:spacing w:after="160" w:line="288"/>
      </w:pPr>
      <w:r>
        <w:rPr>
          <w:rFonts w:ascii="Calibri" w:cs="Calibri" w:eastAsia="Calibri" w:hAnsi="Calibri"/>
          <w:i w:val="false"/>
          <w:iCs w:val="false"/>
          <w:color w:val="222222"/>
          <w:sz w:val="22"/>
          <w:szCs w:val="22"/>
        </w:rPr>
        <w:t xml:space="preserve">The goal of this system is transparency, not exclusion. If AI played a meaningful role in a track, say so, using whatever disclosure option your platform or distributor currently offers. If your role was writing, performing, producing, or making the creative decisions by hand, document that process using Module 1. Either way, the underlying principle is the same: be clear about what you created, what you used, and what your audience can trust.</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5 · Module 1 — Process Documentation Templates</w:t>
      </w:r>
    </w:p>
    <w:p>
      <w:pPr>
        <w:spacing w:after="160" w:line="288"/>
      </w:pPr>
      <w:r>
        <w:rPr>
          <w:rFonts w:ascii="Calibri" w:cs="Calibri" w:eastAsia="Calibri" w:hAnsi="Calibri"/>
          <w:i w:val="false"/>
          <w:iCs w:val="false"/>
          <w:color w:val="222222"/>
          <w:sz w:val="22"/>
          <w:szCs w:val="22"/>
        </w:rPr>
        <w:t xml:space="preserve">The goal of this module is simple: never let a creative session pass without capturing something that shows a human made it. This is raw material, not finished content — you will shape it into posts later using Module 2.</w:t>
      </w:r>
    </w:p>
    <w:p>
      <w:pPr>
        <w:spacing w:after="100" w:before="220"/>
      </w:pPr>
      <w:r>
        <w:rPr>
          <w:rFonts w:ascii="Calibri" w:cs="Calibri" w:eastAsia="Calibri" w:hAnsi="Calibri"/>
          <w:b/>
          <w:bCs/>
          <w:color w:val="B08D57"/>
          <w:sz w:val="22"/>
          <w:szCs w:val="22"/>
        </w:rPr>
        <w:t xml:space="preserve">What Is the Proof Bank?</w:t>
      </w:r>
    </w:p>
    <w:p>
      <w:pPr>
        <w:spacing w:after="160" w:line="288"/>
      </w:pPr>
      <w:r>
        <w:rPr>
          <w:rFonts w:ascii="Calibri" w:cs="Calibri" w:eastAsia="Calibri" w:hAnsi="Calibri"/>
          <w:i w:val="false"/>
          <w:iCs w:val="false"/>
          <w:color w:val="222222"/>
          <w:sz w:val="22"/>
          <w:szCs w:val="22"/>
        </w:rPr>
        <w:t xml:space="preserve">The Proof Bank is a simple, ongoing collection of authentic creative-process evidence — the raw, unpolished record of how a song actually got made. It lives in one dedicated folder on your phone or drive, and you add to it a little at a time, session by session.</w:t>
      </w:r>
    </w:p>
    <w:p>
      <w:pPr>
        <w:spacing w:after="160" w:line="288"/>
      </w:pPr>
      <w:r>
        <w:rPr>
          <w:rFonts w:ascii="Calibri" w:cs="Calibri" w:eastAsia="Calibri" w:hAnsi="Calibri"/>
          <w:i w:val="false"/>
          <w:iCs w:val="false"/>
          <w:color w:val="222222"/>
          <w:sz w:val="22"/>
          <w:szCs w:val="22"/>
        </w:rPr>
        <w:t xml:space="preserve">You do not need expensive equipment, lighting, or professional filming for any of this. A phone voice memo, a quick photo, or a rough screen recording is enough. The objective is consistency and authenticity, not production quality — in fact, visibly unpolished material usually reads as more credible, not less.</w:t>
      </w:r>
    </w:p>
    <w:p>
      <w:pPr>
        <w:spacing w:after="100" w:before="220"/>
      </w:pPr>
      <w:r>
        <w:rPr>
          <w:rFonts w:ascii="Calibri" w:cs="Calibri" w:eastAsia="Calibri" w:hAnsi="Calibri"/>
          <w:b/>
          <w:bCs/>
          <w:color w:val="B08D57"/>
          <w:sz w:val="22"/>
          <w:szCs w:val="22"/>
        </w:rPr>
        <w:t xml:space="preserve">What to Capture</w:t>
      </w:r>
    </w:p>
    <w:p>
      <w:pPr>
        <w:spacing w:after="160" w:line="288"/>
      </w:pPr>
      <w:r>
        <w:rPr>
          <w:rFonts w:ascii="Calibri" w:cs="Calibri" w:eastAsia="Calibri" w:hAnsi="Calibri"/>
          <w:i w:val="false"/>
          <w:iCs w:val="false"/>
          <w:color w:val="222222"/>
          <w:sz w:val="22"/>
          <w:szCs w:val="22"/>
        </w:rPr>
        <w:t xml:space="preserve">At the start or end of every writing, recording, or production session, spend five minutes capturing one or more of the following:</w:t>
      </w:r>
    </w:p>
    <w:p>
      <w:pPr>
        <w:pStyle w:val="ListParagraph"/>
        <w:numPr>
          <w:ilvl w:val="0"/>
          <w:numId w:val="2"/>
        </w:numPr>
        <w:spacing w:after="90" w:line="276"/>
      </w:pPr>
      <w:r>
        <w:rPr>
          <w:rFonts w:ascii="Calibri" w:cs="Calibri" w:eastAsia="Calibri" w:hAnsi="Calibri"/>
          <w:color w:val="222222"/>
          <w:sz w:val="22"/>
          <w:szCs w:val="22"/>
        </w:rPr>
        <w:t xml:space="preserve">A 15–30 second voice note describing what you're working on and how it feels — unscripted is the goal.</w:t>
      </w:r>
    </w:p>
    <w:p>
      <w:pPr>
        <w:pStyle w:val="ListParagraph"/>
        <w:numPr>
          <w:ilvl w:val="0"/>
          <w:numId w:val="2"/>
        </w:numPr>
        <w:spacing w:after="90" w:line="276"/>
      </w:pPr>
      <w:r>
        <w:rPr>
          <w:rFonts w:ascii="Calibri" w:cs="Calibri" w:eastAsia="Calibri" w:hAnsi="Calibri"/>
          <w:color w:val="222222"/>
          <w:sz w:val="22"/>
          <w:szCs w:val="22"/>
        </w:rPr>
        <w:t xml:space="preserve">One photo or short video of the physical process: hands on an instrument, a whiteboard of lyrics, studio setup, a messy notebook page.</w:t>
      </w:r>
    </w:p>
    <w:p>
      <w:pPr>
        <w:pStyle w:val="ListParagraph"/>
        <w:numPr>
          <w:ilvl w:val="0"/>
          <w:numId w:val="2"/>
        </w:numPr>
        <w:spacing w:after="90" w:line="276"/>
      </w:pPr>
      <w:r>
        <w:rPr>
          <w:rFonts w:ascii="Calibri" w:cs="Calibri" w:eastAsia="Calibri" w:hAnsi="Calibri"/>
          <w:color w:val="222222"/>
          <w:sz w:val="22"/>
          <w:szCs w:val="22"/>
        </w:rPr>
        <w:t xml:space="preserve">A rough demo, screenshot, or screen recording of an early version of the track — a version noticeably different from the final.</w:t>
      </w:r>
    </w:p>
    <w:p>
      <w:pPr>
        <w:pStyle w:val="ListParagraph"/>
        <w:numPr>
          <w:ilvl w:val="0"/>
          <w:numId w:val="2"/>
        </w:numPr>
        <w:spacing w:after="90" w:line="276"/>
      </w:pPr>
      <w:r>
        <w:rPr>
          <w:rFonts w:ascii="Calibri" w:cs="Calibri" w:eastAsia="Calibri" w:hAnsi="Calibri"/>
          <w:color w:val="222222"/>
          <w:sz w:val="22"/>
          <w:szCs w:val="22"/>
        </w:rPr>
        <w:t xml:space="preserve">A one-line note on a creative decision you made and why (a lyric change, a chord swap, a vocal take you kept because of a flaw).</w:t>
      </w:r>
    </w:p>
    <w:p>
      <w:pPr>
        <w:spacing w:after="100"/>
      </w:pPr>
    </w:p>
    <w:p>
      <w:pPr>
        <w:spacing w:after="100" w:before="220"/>
      </w:pPr>
      <w:r>
        <w:rPr>
          <w:rFonts w:ascii="Calibri" w:cs="Calibri" w:eastAsia="Calibri" w:hAnsi="Calibri"/>
          <w:b/>
          <w:bCs/>
          <w:color w:val="B08D57"/>
          <w:sz w:val="22"/>
          <w:szCs w:val="22"/>
        </w:rPr>
        <w:t xml:space="preserve">Session Log Template</w:t>
      </w:r>
    </w:p>
    <w:tbl>
      <w:tblPr>
        <w:tblW w:type="dxa" w:w="9360"/>
        <w:tblBorders>
          <w:top w:val="single" w:color="CCCCCC" w:sz="4"/>
          <w:left w:val="single" w:color="CCCCCC" w:sz="4"/>
          <w:bottom w:val="single" w:color="CCCCCC" w:sz="4"/>
          <w:right w:val="single" w:color="CCCCCC" w:sz="4"/>
          <w:insideH w:val="single" w:color="DDDDDD" w:sz="4"/>
          <w:insideV w:val="single" w:color="DDDDDD" w:sz="4"/>
        </w:tblBorders>
      </w:tblPr>
      <w:tblGrid>
        <w:gridCol w:w="3000"/>
        <w:gridCol w:w="6360"/>
      </w:tblGrid>
      <w:tr>
        <w:trPr>
          <w:tblHeader/>
        </w:trPr>
        <w:tc>
          <w:tcPr>
            <w:tcW w:type="dxa" w:w="30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Field</w:t>
            </w:r>
          </w:p>
        </w:tc>
        <w:tc>
          <w:tcPr>
            <w:tcW w:type="dxa" w:w="636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Prompt</w:t>
            </w:r>
          </w:p>
        </w:tc>
      </w:tr>
      <w:tr>
        <w:tc>
          <w:tcPr>
            <w:tcW w:type="dxa" w:w="30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Date / Session #</w:t>
            </w:r>
          </w:p>
        </w:tc>
        <w:tc>
          <w:tcPr>
            <w:tcW w:type="dxa" w:w="63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e.g. Session 4 — Aug 12</w:t>
            </w:r>
          </w:p>
        </w:tc>
      </w:tr>
      <w:tr>
        <w:tc>
          <w:tcPr>
            <w:tcW w:type="dxa" w:w="30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What I worked on</w:t>
            </w:r>
          </w:p>
        </w:tc>
        <w:tc>
          <w:tcPr>
            <w:tcW w:type="dxa" w:w="63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Short description in your own words</w:t>
            </w:r>
          </w:p>
        </w:tc>
      </w:tr>
      <w:tr>
        <w:tc>
          <w:tcPr>
            <w:tcW w:type="dxa" w:w="30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One thing that changed</w:t>
            </w:r>
          </w:p>
        </w:tc>
        <w:tc>
          <w:tcPr>
            <w:tcW w:type="dxa" w:w="63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 decision, edit, or problem most listeners would never notice</w:t>
            </w:r>
          </w:p>
        </w:tc>
      </w:tr>
      <w:tr>
        <w:tc>
          <w:tcPr>
            <w:tcW w:type="dxa" w:w="30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Media captured</w:t>
            </w:r>
          </w:p>
        </w:tc>
        <w:tc>
          <w:tcPr>
            <w:tcW w:type="dxa" w:w="63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Voice note / photo / video / screen recording — file name</w:t>
            </w:r>
          </w:p>
        </w:tc>
      </w:tr>
      <w:tr>
        <w:tc>
          <w:tcPr>
            <w:tcW w:type="dxa" w:w="30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Usable for</w:t>
            </w:r>
          </w:p>
        </w:tc>
        <w:tc>
          <w:tcPr>
            <w:tcW w:type="dxa" w:w="63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Circle: Story / Reel / Caption / Later reference</w:t>
            </w:r>
          </w:p>
        </w:tc>
      </w:tr>
    </w:tbl>
    <w:p>
      <w:pPr>
        <w:spacing w:after="14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WHY THIS WORKS</w:t>
            </w:r>
          </w:p>
          <w:p>
            <w:pPr>
              <w:spacing w:after="40"/>
            </w:pPr>
            <w:r>
              <w:rPr>
                <w:rFonts w:ascii="Calibri" w:cs="Calibri" w:eastAsia="Calibri" w:hAnsi="Calibri"/>
                <w:color w:val="222222"/>
                <w:sz w:val="20"/>
                <w:szCs w:val="20"/>
              </w:rPr>
              <w:t xml:space="preserve">Fully AI-generated tracks are produced instantly and have no session history. A visible, dated trail of rough drafts, physical process, and real decision-making is something synthetic content cannot fake at scale. Volume of honest proof, not polish, is the asset here.</w:t>
            </w:r>
          </w:p>
        </w:tc>
      </w:tr>
    </w:tbl>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6 · Module 2 — The Behind-the-Take Content Calendar</w:t>
      </w:r>
    </w:p>
    <w:p>
      <w:pPr>
        <w:spacing w:after="160" w:line="288"/>
      </w:pPr>
      <w:r>
        <w:rPr>
          <w:rFonts w:ascii="Calibri" w:cs="Calibri" w:eastAsia="Calibri" w:hAnsi="Calibri"/>
          <w:i w:val="false"/>
          <w:iCs w:val="false"/>
          <w:color w:val="222222"/>
          <w:sz w:val="22"/>
          <w:szCs w:val="22"/>
        </w:rPr>
        <w:t xml:space="preserve">This module turns your Proof Bank into a consistent posting rhythm. The format below covers one week and repeats for the life of a release cycle.</w:t>
      </w:r>
    </w:p>
    <w:p>
      <w:pPr>
        <w:spacing w:after="100" w:before="220"/>
      </w:pPr>
      <w:r>
        <w:rPr>
          <w:rFonts w:ascii="Calibri" w:cs="Calibri" w:eastAsia="Calibri" w:hAnsi="Calibri"/>
          <w:b/>
          <w:bCs/>
          <w:color w:val="B08D57"/>
          <w:sz w:val="22"/>
          <w:szCs w:val="22"/>
        </w:rPr>
        <w:t xml:space="preserve">Weekly Rhythm</w:t>
      </w:r>
    </w:p>
    <w:tbl>
      <w:tblPr>
        <w:tblW w:type="dxa" w:w="10360"/>
        <w:tblBorders>
          <w:top w:val="single" w:color="CCCCCC" w:sz="4"/>
          <w:left w:val="single" w:color="CCCCCC" w:sz="4"/>
          <w:bottom w:val="single" w:color="CCCCCC" w:sz="4"/>
          <w:right w:val="single" w:color="CCCCCC" w:sz="4"/>
          <w:insideH w:val="single" w:color="DDDDDD" w:sz="4"/>
          <w:insideV w:val="single" w:color="DDDDDD" w:sz="4"/>
        </w:tblBorders>
      </w:tblPr>
      <w:tblGrid>
        <w:gridCol w:w="1100"/>
        <w:gridCol w:w="2500"/>
        <w:gridCol w:w="2000"/>
        <w:gridCol w:w="2200"/>
        <w:gridCol w:w="2560"/>
      </w:tblGrid>
      <w:tr>
        <w:trPr>
          <w:tblHeader/>
        </w:trPr>
        <w:tc>
          <w:tcPr>
            <w:tcW w:type="dxa" w:w="11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Day</w:t>
            </w:r>
          </w:p>
        </w:tc>
        <w:tc>
          <w:tcPr>
            <w:tcW w:type="dxa" w:w="25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Content</w:t>
            </w:r>
          </w:p>
        </w:tc>
        <w:tc>
          <w:tcPr>
            <w:tcW w:type="dxa" w:w="20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Source</w:t>
            </w:r>
          </w:p>
        </w:tc>
        <w:tc>
          <w:tcPr>
            <w:tcW w:type="dxa" w:w="22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Purpose</w:t>
            </w:r>
          </w:p>
        </w:tc>
        <w:tc>
          <w:tcPr>
            <w:tcW w:type="dxa" w:w="256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Action</w:t>
            </w:r>
          </w:p>
        </w:tc>
      </w:tr>
      <w:tr>
        <w:tc>
          <w:tcPr>
            <w:tcW w:type="dxa" w:w="11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Mon</w:t>
            </w:r>
          </w:p>
        </w:tc>
        <w:tc>
          <w:tcPr>
            <w:tcW w:type="dxa" w:w="25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"What I'm working on" story</w:t>
            </w:r>
          </w:p>
        </w:tc>
        <w:tc>
          <w:tcPr>
            <w:tcW w:type="dxa" w:w="20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This week's Session Log</w:t>
            </w:r>
          </w:p>
        </w:tc>
        <w:tc>
          <w:tcPr>
            <w:tcW w:type="dxa" w:w="22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Keep your audience inside the process</w:t>
            </w:r>
          </w:p>
        </w:tc>
        <w:tc>
          <w:tcPr>
            <w:tcW w:type="dxa" w:w="25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Post a 1-line update + one photo/clip</w:t>
            </w:r>
          </w:p>
        </w:tc>
      </w:tr>
      <w:tr>
        <w:tc>
          <w:tcPr>
            <w:tcW w:type="dxa" w:w="11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Wed</w:t>
            </w:r>
          </w:p>
        </w:tc>
        <w:tc>
          <w:tcPr>
            <w:tcW w:type="dxa" w:w="25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Before/after or raw take clip</w:t>
            </w:r>
          </w:p>
        </w:tc>
        <w:tc>
          <w:tcPr>
            <w:tcW w:type="dxa" w:w="20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Proof Bank media</w:t>
            </w:r>
          </w:p>
        </w:tc>
        <w:tc>
          <w:tcPr>
            <w:tcW w:type="dxa" w:w="22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Show the gap between rough and final</w:t>
            </w:r>
          </w:p>
        </w:tc>
        <w:tc>
          <w:tcPr>
            <w:tcW w:type="dxa" w:w="25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Pair an early take with the polished version</w:t>
            </w:r>
          </w:p>
        </w:tc>
      </w:tr>
      <w:tr>
        <w:tc>
          <w:tcPr>
            <w:tcW w:type="dxa" w:w="11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Fri</w:t>
            </w:r>
          </w:p>
        </w:tc>
        <w:tc>
          <w:tcPr>
            <w:tcW w:type="dxa" w:w="25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Decision spotlight caption</w:t>
            </w:r>
          </w:p>
        </w:tc>
        <w:tc>
          <w:tcPr>
            <w:tcW w:type="dxa" w:w="20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Session Log "decision" field</w:t>
            </w:r>
          </w:p>
        </w:tc>
        <w:tc>
          <w:tcPr>
            <w:tcW w:type="dxa" w:w="22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Signal craft and intent</w:t>
            </w:r>
          </w:p>
        </w:tc>
        <w:tc>
          <w:tcPr>
            <w:tcW w:type="dxa" w:w="25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One caption naming a real choice you made</w:t>
            </w:r>
          </w:p>
        </w:tc>
      </w:tr>
      <w:tr>
        <w:tc>
          <w:tcPr>
            <w:tcW w:type="dxa" w:w="11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Sun</w:t>
            </w:r>
          </w:p>
        </w:tc>
        <w:tc>
          <w:tcPr>
            <w:tcW w:type="dxa" w:w="25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Unscripted voice-note style post</w:t>
            </w:r>
          </w:p>
        </w:tc>
        <w:tc>
          <w:tcPr>
            <w:tcW w:type="dxa" w:w="20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Voice note captures</w:t>
            </w:r>
          </w:p>
        </w:tc>
        <w:tc>
          <w:tcPr>
            <w:tcW w:type="dxa" w:w="22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Build trust through imperfection</w:t>
            </w:r>
          </w:p>
        </w:tc>
        <w:tc>
          <w:tcPr>
            <w:tcW w:type="dxa" w:w="25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Share the least-edited clip you have</w:t>
            </w:r>
          </w:p>
        </w:tc>
      </w:tr>
    </w:tbl>
    <w:p>
      <w:pPr>
        <w:spacing w:after="140"/>
      </w:pPr>
    </w:p>
    <w:p>
      <w:pPr>
        <w:spacing w:after="100" w:before="220"/>
      </w:pPr>
      <w:r>
        <w:rPr>
          <w:rFonts w:ascii="Calibri" w:cs="Calibri" w:eastAsia="Calibri" w:hAnsi="Calibri"/>
          <w:b/>
          <w:bCs/>
          <w:color w:val="B08D57"/>
          <w:sz w:val="22"/>
          <w:szCs w:val="22"/>
        </w:rPr>
        <w:t xml:space="preserve">Four-Week Release Arc</w:t>
      </w:r>
    </w:p>
    <w:p>
      <w:pPr>
        <w:pStyle w:val="ListParagraph"/>
        <w:numPr>
          <w:ilvl w:val="0"/>
          <w:numId w:val="4"/>
        </w:numPr>
        <w:spacing w:after="90" w:line="276"/>
      </w:pPr>
      <w:r>
        <w:rPr>
          <w:rFonts w:ascii="Calibri" w:cs="Calibri" w:eastAsia="Calibri" w:hAnsi="Calibri"/>
          <w:color w:val="222222"/>
          <w:sz w:val="22"/>
          <w:szCs w:val="22"/>
        </w:rPr>
        <w:t xml:space="preserve">Week 1 — Process: introduce what you're building and why. Lean on rough drafts and studio footage.</w:t>
      </w:r>
    </w:p>
    <w:p>
      <w:pPr>
        <w:pStyle w:val="ListParagraph"/>
        <w:numPr>
          <w:ilvl w:val="0"/>
          <w:numId w:val="4"/>
        </w:numPr>
        <w:spacing w:after="90" w:line="276"/>
      </w:pPr>
      <w:r>
        <w:rPr>
          <w:rFonts w:ascii="Calibri" w:cs="Calibri" w:eastAsia="Calibri" w:hAnsi="Calibri"/>
          <w:color w:val="222222"/>
          <w:sz w:val="22"/>
          <w:szCs w:val="22"/>
        </w:rPr>
        <w:t xml:space="preserve">Week 2 — Decisions: show the choices behind the song, using the "decision" field from your Session Log.</w:t>
      </w:r>
    </w:p>
    <w:p>
      <w:pPr>
        <w:pStyle w:val="ListParagraph"/>
        <w:numPr>
          <w:ilvl w:val="0"/>
          <w:numId w:val="4"/>
        </w:numPr>
        <w:spacing w:after="90" w:line="276"/>
      </w:pPr>
      <w:r>
        <w:rPr>
          <w:rFonts w:ascii="Calibri" w:cs="Calibri" w:eastAsia="Calibri" w:hAnsi="Calibri"/>
          <w:color w:val="222222"/>
          <w:sz w:val="22"/>
          <w:szCs w:val="22"/>
        </w:rPr>
        <w:t xml:space="preserve">Week 3 — Comparison: post a before/after — an early take next to the final mix. This is typically the highest-trust content type in this system.</w:t>
      </w:r>
    </w:p>
    <w:p>
      <w:pPr>
        <w:pStyle w:val="ListParagraph"/>
        <w:numPr>
          <w:ilvl w:val="0"/>
          <w:numId w:val="4"/>
        </w:numPr>
        <w:spacing w:after="90" w:line="276"/>
      </w:pPr>
      <w:r>
        <w:rPr>
          <w:rFonts w:ascii="Calibri" w:cs="Calibri" w:eastAsia="Calibri" w:hAnsi="Calibri"/>
          <w:color w:val="222222"/>
          <w:sz w:val="22"/>
          <w:szCs w:val="22"/>
        </w:rPr>
        <w:t xml:space="preserve">Week 4 — Release + reflection: on release day, post the most honest artifact you captured — the messiest voice note, the earliest sketch — paired with the finished track.</w:t>
      </w:r>
    </w:p>
    <w:p>
      <w:pPr>
        <w:spacing w:after="12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CAPTION FRAMEWORK</w:t>
            </w:r>
          </w:p>
          <w:p>
            <w:pPr>
              <w:spacing w:after="40"/>
            </w:pPr>
            <w:r>
              <w:rPr>
                <w:rFonts w:ascii="Calibri" w:cs="Calibri" w:eastAsia="Calibri" w:hAnsi="Calibri"/>
                <w:color w:val="222222"/>
                <w:sz w:val="20"/>
                <w:szCs w:val="20"/>
              </w:rPr>
              <w:t xml:space="preserve">Lead with the imperfection, not the polish: "This take has a crack in it I almost fixed — I kept it." Add one line of context. Then the release detail or link. Three lines, no more.</w:t>
            </w:r>
          </w:p>
        </w:tc>
      </w:tr>
    </w:tbl>
    <w:p>
      <w:pPr>
        <w:spacing w:after="60"/>
      </w:pPr>
    </w:p>
    <w:p>
      <w:pPr>
        <w:spacing w:after="160" w:line="288"/>
      </w:pPr>
      <w:r>
        <w:rPr>
          <w:rFonts w:ascii="Calibri" w:cs="Calibri" w:eastAsia="Calibri" w:hAnsi="Calibri"/>
          <w:i/>
          <w:iCs/>
          <w:color w:val="222222"/>
          <w:sz w:val="22"/>
          <w:szCs w:val="22"/>
        </w:rPr>
        <w:t xml:space="preserve">Keep this system focused. It is not a full social-media strategy — it is a way to consistently show your real process alongside whatever else you already post.</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7 · Module 3 — Bio &amp; EPK Language Pack</w:t>
      </w:r>
    </w:p>
    <w:p>
      <w:pPr>
        <w:spacing w:after="160" w:line="288"/>
      </w:pPr>
      <w:r>
        <w:rPr>
          <w:rFonts w:ascii="Calibri" w:cs="Calibri" w:eastAsia="Calibri" w:hAnsi="Calibri"/>
          <w:i w:val="false"/>
          <w:iCs w:val="false"/>
          <w:color w:val="222222"/>
          <w:sz w:val="22"/>
          <w:szCs w:val="22"/>
        </w:rPr>
        <w:t xml:space="preserve">Most artist bios describe genre and influences. In a market with a growing share of synthetic music, your bio can also answer a question more listeners are asking without saying it out loud: is this real, and who made it?</w:t>
      </w:r>
    </w:p>
    <w:p>
      <w:pPr>
        <w:spacing w:after="160" w:line="288"/>
      </w:pPr>
      <w:r>
        <w:rPr>
          <w:rFonts w:ascii="Calibri" w:cs="Calibri" w:eastAsia="Calibri" w:hAnsi="Calibri"/>
          <w:i w:val="false"/>
          <w:iCs w:val="false"/>
          <w:color w:val="222222"/>
          <w:sz w:val="22"/>
          <w:szCs w:val="22"/>
        </w:rPr>
        <w:t xml:space="preserve">Every example below uses placeholders. Fill them in with details that are actually true for you — the whole point of this module is accuracy, not a template that flatters every artist equally.</w:t>
      </w:r>
    </w:p>
    <w:p>
      <w:pPr>
        <w:spacing w:after="100" w:before="220"/>
      </w:pPr>
      <w:r>
        <w:rPr>
          <w:rFonts w:ascii="Calibri" w:cs="Calibri" w:eastAsia="Calibri" w:hAnsi="Calibri"/>
          <w:b/>
          <w:bCs/>
          <w:color w:val="B08D57"/>
          <w:sz w:val="22"/>
          <w:szCs w:val="22"/>
        </w:rPr>
        <w:t xml:space="preserve">Before / After</w:t>
      </w:r>
    </w:p>
    <w:tbl>
      <w:tblPr>
        <w:tblW w:type="dxa" w:w="9360"/>
        <w:tblBorders>
          <w:top w:val="single" w:color="CCCCCC" w:sz="4"/>
          <w:left w:val="single" w:color="CCCCCC" w:sz="4"/>
          <w:bottom w:val="single" w:color="CCCCCC" w:sz="4"/>
          <w:right w:val="single" w:color="CCCCCC" w:sz="4"/>
          <w:insideH w:val="single" w:color="DDDDDD" w:sz="4"/>
          <w:insideV w:val="single" w:color="DDDDDD" w:sz="4"/>
        </w:tblBorders>
      </w:tblPr>
      <w:tblGrid>
        <w:gridCol w:w="4680"/>
        <w:gridCol w:w="4680"/>
      </w:tblGrid>
      <w:tr>
        <w:trPr>
          <w:tblHeader/>
        </w:trPr>
        <w:tc>
          <w:tcPr>
            <w:tcW w:type="dxa" w:w="468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Generic Bio Language</w:t>
            </w:r>
          </w:p>
        </w:tc>
        <w:tc>
          <w:tcPr>
            <w:tcW w:type="dxa" w:w="468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Authenticity-Forward Language</w:t>
            </w:r>
          </w:p>
        </w:tc>
      </w:tr>
      <w:tr>
        <w:tc>
          <w:tcPr>
            <w:tcW w:type="dxa" w:w="468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"[Artist Name] makes emotionally driven indie-pop."</w:t>
            </w:r>
          </w:p>
        </w:tc>
        <w:tc>
          <w:tcPr>
            <w:tcW w:type="dxa" w:w="468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"[Artist Name] writes and records [describe your role — vocals, guitar, production, etc.] from a home studio in [City]."</w:t>
            </w:r>
          </w:p>
        </w:tc>
      </w:tr>
      <w:tr>
        <w:tc>
          <w:tcPr>
            <w:tcW w:type="dxa" w:w="468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"New single out now."</w:t>
            </w:r>
          </w:p>
        </w:tc>
        <w:tc>
          <w:tcPr>
            <w:tcW w:type="dxa" w:w="468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"Behind-the-scenes footage from making [Release Name] — from the first voice note to the last vocal take — is on [Artist Name]'s socials."</w:t>
            </w:r>
          </w:p>
        </w:tc>
      </w:tr>
      <w:tr>
        <w:tc>
          <w:tcPr>
            <w:tcW w:type="dxa" w:w="468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"Available on all streaming platforms."</w:t>
            </w:r>
          </w:p>
        </w:tc>
        <w:tc>
          <w:tcPr>
            <w:tcW w:type="dxa" w:w="468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"[Artist Name] discloses AI use accurately on every release — see the credits on [Release Name] for exactly who and what was involved."</w:t>
            </w:r>
          </w:p>
        </w:tc>
      </w:tr>
    </w:tbl>
    <w:p>
      <w:pPr>
        <w:spacing w:after="140"/>
      </w:pPr>
    </w:p>
    <w:p>
      <w:pPr>
        <w:spacing w:after="100" w:before="220"/>
      </w:pPr>
      <w:r>
        <w:rPr>
          <w:rFonts w:ascii="Calibri" w:cs="Calibri" w:eastAsia="Calibri" w:hAnsi="Calibri"/>
          <w:b/>
          <w:bCs/>
          <w:color w:val="B08D57"/>
          <w:sz w:val="22"/>
          <w:szCs w:val="22"/>
        </w:rPr>
        <w:t xml:space="preserve">Ready-to-Adapt Lines</w:t>
      </w:r>
    </w:p>
    <w:p>
      <w:pPr>
        <w:spacing w:after="160" w:line="288"/>
      </w:pPr>
      <w:r>
        <w:rPr>
          <w:rFonts w:ascii="Calibri" w:cs="Calibri" w:eastAsia="Calibri" w:hAnsi="Calibri"/>
          <w:i/>
          <w:iCs/>
          <w:color w:val="222222"/>
          <w:sz w:val="22"/>
          <w:szCs w:val="22"/>
        </w:rPr>
        <w:t xml:space="preserve">Use these only if they are true for your process. Adjust the specifics rather than copying them as-is.</w:t>
      </w:r>
    </w:p>
    <w:p>
      <w:pPr>
        <w:pStyle w:val="ListParagraph"/>
        <w:numPr>
          <w:ilvl w:val="0"/>
          <w:numId w:val="2"/>
        </w:numPr>
        <w:spacing w:after="90" w:line="276"/>
      </w:pPr>
      <w:r>
        <w:rPr>
          <w:rFonts w:ascii="Calibri" w:cs="Calibri" w:eastAsia="Calibri" w:hAnsi="Calibri"/>
          <w:color w:val="222222"/>
          <w:sz w:val="22"/>
          <w:szCs w:val="22"/>
        </w:rPr>
        <w:t xml:space="preserve">"You can hear every decision I chose to keep."</w:t>
      </w:r>
    </w:p>
    <w:p>
      <w:pPr>
        <w:pStyle w:val="ListParagraph"/>
        <w:numPr>
          <w:ilvl w:val="0"/>
          <w:numId w:val="2"/>
        </w:numPr>
        <w:spacing w:after="90" w:line="276"/>
      </w:pPr>
      <w:r>
        <w:rPr>
          <w:rFonts w:ascii="Calibri" w:cs="Calibri" w:eastAsia="Calibri" w:hAnsi="Calibri"/>
          <w:color w:val="222222"/>
          <w:sz w:val="22"/>
          <w:szCs w:val="22"/>
        </w:rPr>
        <w:t xml:space="preserve">"This one took [Number of Sessions] sessions and [X] rewrites to get right."</w:t>
      </w:r>
    </w:p>
    <w:p>
      <w:pPr>
        <w:pStyle w:val="ListParagraph"/>
        <w:numPr>
          <w:ilvl w:val="0"/>
          <w:numId w:val="2"/>
        </w:numPr>
        <w:spacing w:after="90" w:line="276"/>
      </w:pPr>
      <w:r>
        <w:rPr>
          <w:rFonts w:ascii="Calibri" w:cs="Calibri" w:eastAsia="Calibri" w:hAnsi="Calibri"/>
          <w:color w:val="222222"/>
          <w:sz w:val="22"/>
          <w:szCs w:val="22"/>
        </w:rPr>
        <w:t xml:space="preserve">"Every credit on [Release Name] is a real person — see the full breakdown in the liner notes."</w:t>
      </w:r>
    </w:p>
    <w:p>
      <w:pPr>
        <w:pStyle w:val="ListParagraph"/>
        <w:numPr>
          <w:ilvl w:val="0"/>
          <w:numId w:val="2"/>
        </w:numPr>
        <w:spacing w:after="90" w:line="276"/>
      </w:pPr>
      <w:r>
        <w:rPr>
          <w:rFonts w:ascii="Calibri" w:cs="Calibri" w:eastAsia="Calibri" w:hAnsi="Calibri"/>
          <w:color w:val="222222"/>
          <w:sz w:val="22"/>
          <w:szCs w:val="22"/>
        </w:rPr>
        <w:t xml:space="preserve">"If you want the process, not just the finished song, it's on my page."</w:t>
      </w:r>
    </w:p>
    <w:p>
      <w:pPr>
        <w:spacing w:after="100"/>
      </w:pPr>
    </w:p>
    <w:p>
      <w:pPr>
        <w:spacing w:after="100" w:before="220"/>
      </w:pPr>
      <w:r>
        <w:rPr>
          <w:rFonts w:ascii="Calibri" w:cs="Calibri" w:eastAsia="Calibri" w:hAnsi="Calibri"/>
          <w:b/>
          <w:bCs/>
          <w:color w:val="B08D57"/>
          <w:sz w:val="22"/>
          <w:szCs w:val="22"/>
        </w:rPr>
        <w:t xml:space="preserve">EPK Checklist</w:t>
      </w:r>
    </w:p>
    <w:p>
      <w:pPr>
        <w:pStyle w:val="ListParagraph"/>
        <w:numPr>
          <w:ilvl w:val="0"/>
          <w:numId w:val="2"/>
        </w:numPr>
        <w:spacing w:after="90" w:line="276"/>
      </w:pPr>
      <w:r>
        <w:rPr>
          <w:rFonts w:ascii="Calibri" w:cs="Calibri" w:eastAsia="Calibri" w:hAnsi="Calibri"/>
          <w:color w:val="222222"/>
          <w:sz w:val="22"/>
          <w:szCs w:val="22"/>
        </w:rPr>
        <w:t xml:space="preserve">One paragraph naming your process explicitly, and accurately (instruments played, vocals recorded live, hands-on production, or where AI tools were used).</w:t>
      </w:r>
    </w:p>
    <w:p>
      <w:pPr>
        <w:pStyle w:val="ListParagraph"/>
        <w:numPr>
          <w:ilvl w:val="0"/>
          <w:numId w:val="2"/>
        </w:numPr>
        <w:spacing w:after="90" w:line="276"/>
      </w:pPr>
      <w:r>
        <w:rPr>
          <w:rFonts w:ascii="Calibri" w:cs="Calibri" w:eastAsia="Calibri" w:hAnsi="Calibri"/>
          <w:color w:val="222222"/>
          <w:sz w:val="22"/>
          <w:szCs w:val="22"/>
        </w:rPr>
        <w:t xml:space="preserve">A link or reference to your process content (Module 2 output) as social proof.</w:t>
      </w:r>
    </w:p>
    <w:p>
      <w:pPr>
        <w:pStyle w:val="ListParagraph"/>
        <w:numPr>
          <w:ilvl w:val="0"/>
          <w:numId w:val="2"/>
        </w:numPr>
        <w:spacing w:after="90" w:line="276"/>
      </w:pPr>
      <w:r>
        <w:rPr>
          <w:rFonts w:ascii="Calibri" w:cs="Calibri" w:eastAsia="Calibri" w:hAnsi="Calibri"/>
          <w:color w:val="222222"/>
          <w:sz w:val="22"/>
          <w:szCs w:val="22"/>
        </w:rPr>
        <w:t xml:space="preserve">Your current platform AI-disclosure status stated plainly, matching what you've actually submitted through your distributor (see Module 4).</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8 · Module 4 — Platform Playbook</w:t>
      </w:r>
    </w:p>
    <w:p>
      <w:pPr>
        <w:spacing w:after="160" w:line="288"/>
      </w:pPr>
      <w:r>
        <w:rPr>
          <w:rFonts w:ascii="Calibri" w:cs="Calibri" w:eastAsia="Calibri" w:hAnsi="Calibri"/>
          <w:i w:val="false"/>
          <w:iCs w:val="false"/>
          <w:color w:val="222222"/>
          <w:sz w:val="22"/>
          <w:szCs w:val="22"/>
        </w:rPr>
        <w:t xml:space="preserve">Streaming platforms are actively building tools to give listeners more clarity about what they're hearing and who made it. Availability, exact steps, and eligibility vary by platform, distributor, region, and account type — always check your own dashboard for the current options rather than assuming a feature is live for you.</w:t>
      </w:r>
    </w:p>
    <w:p>
      <w:pPr>
        <w:spacing w:after="100" w:before="220"/>
      </w:pPr>
      <w:r>
        <w:rPr>
          <w:rFonts w:ascii="Calibri" w:cs="Calibri" w:eastAsia="Calibri" w:hAnsi="Calibri"/>
          <w:b/>
          <w:bCs/>
          <w:color w:val="B08D57"/>
          <w:sz w:val="22"/>
          <w:szCs w:val="22"/>
        </w:rPr>
        <w:t xml:space="preserve">Platform Actions</w:t>
      </w:r>
    </w:p>
    <w:tbl>
      <w:tblPr>
        <w:tblW w:type="dxa" w:w="9360"/>
        <w:tblBorders>
          <w:top w:val="single" w:color="CCCCCC" w:sz="4"/>
          <w:left w:val="single" w:color="CCCCCC" w:sz="4"/>
          <w:bottom w:val="single" w:color="CCCCCC" w:sz="4"/>
          <w:right w:val="single" w:color="CCCCCC" w:sz="4"/>
          <w:insideH w:val="single" w:color="DDDDDD" w:sz="4"/>
          <w:insideV w:val="single" w:color="DDDDDD" w:sz="4"/>
        </w:tblBorders>
      </w:tblPr>
      <w:tblGrid>
        <w:gridCol w:w="2500"/>
        <w:gridCol w:w="2600"/>
        <w:gridCol w:w="4260"/>
      </w:tblGrid>
      <w:tr>
        <w:trPr>
          <w:tblHeader/>
        </w:trPr>
        <w:tc>
          <w:tcPr>
            <w:tcW w:type="dxa" w:w="25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Platform</w:t>
            </w:r>
          </w:p>
        </w:tc>
        <w:tc>
          <w:tcPr>
            <w:tcW w:type="dxa" w:w="260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Tool</w:t>
            </w:r>
          </w:p>
        </w:tc>
        <w:tc>
          <w:tcPr>
            <w:tcW w:type="dxa" w:w="4260"/>
            <w:shd w:fill="1B2A4A" w:val="clear"/>
            <w:tcMar>
              <w:top w:type="dxa" w:w="110"/>
              <w:left w:type="dxa" w:w="130"/>
              <w:bottom w:type="dxa" w:w="110"/>
              <w:right w:type="dxa" w:w="130"/>
            </w:tcMar>
            <w:vAlign w:val="center"/>
          </w:tcPr>
          <w:p>
            <w:r>
              <w:rPr>
                <w:rFonts w:ascii="Calibri" w:cs="Calibri" w:eastAsia="Calibri" w:hAnsi="Calibri"/>
                <w:b/>
                <w:bCs/>
                <w:color w:val="FFFFFF"/>
                <w:sz w:val="18"/>
                <w:szCs w:val="18"/>
              </w:rPr>
              <w:t xml:space="preserve">What To Do</w:t>
            </w:r>
          </w:p>
        </w:tc>
      </w:tr>
      <w:tr>
        <w:tc>
          <w:tcPr>
            <w:tcW w:type="dxa" w:w="25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Spotify</w:t>
            </w:r>
          </w:p>
        </w:tc>
        <w:tc>
          <w:tcPr>
            <w:tcW w:type="dxa" w:w="26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AI Credits (beta)</w:t>
            </w:r>
          </w:p>
        </w:tc>
        <w:tc>
          <w:tcPr>
            <w:tcW w:type="dxa" w:w="42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Where your distributor supports it, disclose AI involvement accurately through your distributor's DDEX-based credit fields at upload. This is optional and not yet available through every distributor.</w:t>
            </w:r>
          </w:p>
        </w:tc>
      </w:tr>
      <w:tr>
        <w:tc>
          <w:tcPr>
            <w:tcW w:type="dxa" w:w="25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Spotify</w:t>
            </w:r>
          </w:p>
        </w:tc>
        <w:tc>
          <w:tcPr>
            <w:tcW w:type="dxa" w:w="26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Artist Profile Protection</w:t>
            </w:r>
          </w:p>
        </w:tc>
        <w:tc>
          <w:tcPr>
            <w:tcW w:type="dxa" w:w="42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Where available, turn on release review so tracks can't be delivered to your profile without your approval.</w:t>
            </w:r>
          </w:p>
        </w:tc>
      </w:tr>
      <w:tr>
        <w:tc>
          <w:tcPr>
            <w:tcW w:type="dxa" w:w="25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Spotify</w:t>
            </w:r>
          </w:p>
        </w:tc>
        <w:tc>
          <w:tcPr>
            <w:tcW w:type="dxa" w:w="26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AI Persona badge</w:t>
            </w:r>
          </w:p>
        </w:tc>
        <w:tc>
          <w:tcPr>
            <w:tcW w:type="dxa" w:w="42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Relevant only if your public artist identity itself is AI-generated — self-disclose via Spotify for Artists if that applies to you.</w:t>
            </w:r>
          </w:p>
        </w:tc>
      </w:tr>
      <w:tr>
        <w:tc>
          <w:tcPr>
            <w:tcW w:type="dxa" w:w="25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Deezer</w:t>
            </w:r>
          </w:p>
        </w:tc>
        <w:tc>
          <w:tcPr>
            <w:tcW w:type="dxa" w:w="26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AI detection &amp; tagging</w:t>
            </w:r>
          </w:p>
        </w:tc>
        <w:tc>
          <w:tcPr>
            <w:tcW w:type="dxa" w:w="42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Deezer tags fully AI-generated tracks automatically; there is no manual action for human-made releases beyond accurate metadata.</w:t>
            </w:r>
          </w:p>
        </w:tc>
      </w:tr>
      <w:tr>
        <w:tc>
          <w:tcPr>
            <w:tcW w:type="dxa" w:w="25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Distributor (e.g. DistroKid, TuneCore, etc.)</w:t>
            </w:r>
          </w:p>
        </w:tc>
        <w:tc>
          <w:tcPr>
            <w:tcW w:type="dxa" w:w="260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Release metadata &amp; credits</w:t>
            </w:r>
          </w:p>
        </w:tc>
        <w:tc>
          <w:tcPr>
            <w:tcW w:type="dxa" w:w="4260"/>
            <w:shd w:fill="FFFFFF" w:val="clear"/>
            <w:tcMar>
              <w:top w:type="dxa" w:w="100"/>
              <w:left w:type="dxa" w:w="130"/>
              <w:bottom w:type="dxa" w:w="100"/>
              <w:right w:type="dxa" w:w="130"/>
            </w:tcMar>
            <w:vAlign w:val="center"/>
          </w:tcPr>
          <w:p>
            <w:r>
              <w:rPr>
                <w:rFonts w:ascii="Calibri" w:cs="Calibri" w:eastAsia="Calibri" w:hAnsi="Calibri"/>
                <w:color w:val="222222"/>
                <w:sz w:val="18"/>
                <w:szCs w:val="18"/>
              </w:rPr>
              <w:t xml:space="preserve">Fill in every available credit and disclosure field accurately — check your specific distributor's current options, as these differ and change over time.</w:t>
            </w:r>
          </w:p>
        </w:tc>
      </w:tr>
      <w:tr>
        <w:tc>
          <w:tcPr>
            <w:tcW w:type="dxa" w:w="25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All platforms</w:t>
            </w:r>
          </w:p>
        </w:tc>
        <w:tc>
          <w:tcPr>
            <w:tcW w:type="dxa" w:w="260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Verified artist profile</w:t>
            </w:r>
          </w:p>
        </w:tc>
        <w:tc>
          <w:tcPr>
            <w:tcW w:type="dxa" w:w="4260"/>
            <w:shd w:fill="F2F1EE" w:val="clear"/>
            <w:tcMar>
              <w:top w:type="dxa" w:w="100"/>
              <w:left w:type="dxa" w:w="130"/>
              <w:bottom w:type="dxa" w:w="100"/>
              <w:right w:type="dxa" w:w="130"/>
            </w:tcMar>
            <w:vAlign w:val="center"/>
          </w:tcPr>
          <w:p>
            <w:r>
              <w:rPr>
                <w:rFonts w:ascii="Calibri" w:cs="Calibri" w:eastAsia="Calibri" w:hAnsi="Calibri"/>
                <w:color w:val="222222"/>
                <w:sz w:val="18"/>
                <w:szCs w:val="18"/>
              </w:rPr>
              <w:t xml:space="preserve">Apply for or maintain verification where offered; requirements vary by platform.</w:t>
            </w:r>
          </w:p>
        </w:tc>
      </w:tr>
    </w:tbl>
    <w:p>
      <w:pPr>
        <w:spacing w:after="14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THE PRINCIPLE, NOT JUST THE STEPS</w:t>
            </w:r>
          </w:p>
          <w:p>
            <w:pPr>
              <w:spacing w:after="40"/>
            </w:pPr>
            <w:r>
              <w:rPr>
                <w:rFonts w:ascii="Calibri" w:cs="Calibri" w:eastAsia="Calibri" w:hAnsi="Calibri"/>
                <w:color w:val="222222"/>
                <w:sz w:val="20"/>
                <w:szCs w:val="20"/>
              </w:rPr>
              <w:t xml:space="preserve">Never declare that a release involves zero AI if that isn't accurate, and never leave a disclosure field blank to avoid a question. Accurate disclosure — whatever the honest answer is — is the standard this toolkit is built around, and it is also what platforms increasingly expect.</w:t>
            </w:r>
          </w:p>
        </w:tc>
      </w:tr>
    </w:tbl>
    <w:p>
      <w:pPr>
        <w:spacing w:after="120"/>
      </w:pPr>
    </w:p>
    <w:p>
      <w:pPr>
        <w:spacing w:after="100" w:before="220"/>
      </w:pPr>
      <w:r>
        <w:rPr>
          <w:rFonts w:ascii="Calibri" w:cs="Calibri" w:eastAsia="Calibri" w:hAnsi="Calibri"/>
          <w:b/>
          <w:bCs/>
          <w:color w:val="B08D57"/>
          <w:sz w:val="22"/>
          <w:szCs w:val="22"/>
        </w:rPr>
        <w:t xml:space="preserve">Monitoring</w:t>
      </w:r>
    </w:p>
    <w:p>
      <w:pPr>
        <w:spacing w:after="160" w:line="288"/>
      </w:pPr>
      <w:r>
        <w:rPr>
          <w:rFonts w:ascii="Calibri" w:cs="Calibri" w:eastAsia="Calibri" w:hAnsi="Calibri"/>
          <w:i w:val="false"/>
          <w:iCs w:val="false"/>
          <w:color w:val="222222"/>
          <w:sz w:val="22"/>
          <w:szCs w:val="22"/>
        </w:rPr>
        <w:t xml:space="preserve">Search your artist name and release titles periodically across major platforms. Impersonation and misattribution are common enough that catching it early — with accurate bio and EPK language already in place from Module 3 — helps protect both your royalties and your audience's trust.</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9 · Quick-Start Checklist</w:t>
      </w:r>
    </w:p>
    <w:p>
      <w:pPr>
        <w:spacing w:after="160" w:line="288"/>
      </w:pPr>
      <w:r>
        <w:rPr>
          <w:rFonts w:ascii="Calibri" w:cs="Calibri" w:eastAsia="Calibri" w:hAnsi="Calibri"/>
          <w:i w:val="false"/>
          <w:iCs w:val="false"/>
          <w:color w:val="222222"/>
          <w:sz w:val="22"/>
          <w:szCs w:val="22"/>
        </w:rPr>
        <w:t xml:space="preserve">Keep this page handy. This is the minimum viable version of the system — everything else in this toolkit builds on these eight steps.</w:t>
      </w:r>
    </w:p>
    <w:p>
      <w:pPr>
        <w:spacing w:after="80"/>
      </w:pP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Create a "Proof Bank" folder on your phone.</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Capture one piece of process media at your next session (Module 1).</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Review your current Spotify and distributor disclosure options (Module 4).</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Rewrite your bio's first line using the authenticity framework (Module 3).</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Plan your next four Sunday posts using the weekly rhythm (Module 2).</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Post one before/after comparison from a recent session.</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Add one accurate authenticity line to your next release's EPK.</w:t>
      </w:r>
    </w:p>
    <w:p>
      <w:pPr>
        <w:spacing w:after="130" w:line="276"/>
        <w:ind w:left="260" w:hanging="260"/>
      </w:pPr>
      <w:r>
        <w:rPr>
          <w:rFonts w:ascii="Calibri" w:cs="Calibri" w:eastAsia="Calibri" w:hAnsi="Calibri"/>
          <w:b/>
          <w:bCs/>
          <w:color w:val="1B2A4A"/>
          <w:sz w:val="24"/>
          <w:szCs w:val="24"/>
        </w:rPr>
        <w:t xml:space="preserve">☐  </w:t>
      </w:r>
      <w:r>
        <w:rPr>
          <w:rFonts w:ascii="Calibri" w:cs="Calibri" w:eastAsia="Calibri" w:hAnsi="Calibri"/>
          <w:color w:val="222222"/>
          <w:sz w:val="22"/>
          <w:szCs w:val="22"/>
        </w:rPr>
        <w:t xml:space="preserve">Set a monthly reminder to search your name for impersonation.</w:t>
      </w:r>
    </w:p>
    <w:p>
      <w:pPr>
        <w:pStyle w:val="Heading1"/>
        <w:pageBreakBefore/>
        <w:pBdr>
          <w:bottom w:val="single" w:color="B08D57" w:sz="8" w:space="6"/>
        </w:pBdr>
        <w:spacing w:after="240" w:before="480"/>
      </w:pPr>
      <w:r>
        <w:rPr>
          <w:rFonts w:ascii="Cambria" w:cs="Cambria" w:eastAsia="Cambria" w:hAnsi="Cambria"/>
          <w:b/>
          <w:bCs/>
          <w:color w:val="1B2A4A"/>
          <w:sz w:val="32"/>
          <w:szCs w:val="32"/>
        </w:rPr>
        <w:t xml:space="preserve">10 · For Every New Release</w:t>
      </w:r>
    </w:p>
    <w:p>
      <w:pPr>
        <w:spacing w:after="160" w:line="288"/>
      </w:pPr>
      <w:r>
        <w:rPr>
          <w:rFonts w:ascii="Calibri" w:cs="Calibri" w:eastAsia="Calibri" w:hAnsi="Calibri"/>
          <w:i w:val="false"/>
          <w:iCs w:val="false"/>
          <w:color w:val="222222"/>
          <w:sz w:val="22"/>
          <w:szCs w:val="22"/>
        </w:rPr>
        <w:t xml:space="preserve">This toolkit is designed to be reused, not opened once. Run this short framework for every future release to keep the system going.</w:t>
      </w:r>
    </w:p>
    <w:p>
      <w:pPr>
        <w:spacing w:after="80"/>
      </w:pPr>
    </w:p>
    <w:p>
      <w:pPr>
        <w:pStyle w:val="ListParagraph"/>
        <w:numPr>
          <w:ilvl w:val="0"/>
          <w:numId w:val="5"/>
        </w:numPr>
        <w:spacing w:after="90" w:line="276"/>
      </w:pPr>
      <w:r>
        <w:rPr>
          <w:rFonts w:ascii="Calibri" w:cs="Calibri" w:eastAsia="Calibri" w:hAnsi="Calibri"/>
          <w:color w:val="222222"/>
          <w:sz w:val="22"/>
          <w:szCs w:val="22"/>
        </w:rPr>
        <w:t xml:space="preserve">Refresh the Proof Bank for the new project.</w:t>
      </w:r>
    </w:p>
    <w:p>
      <w:pPr>
        <w:pStyle w:val="ListParagraph"/>
        <w:numPr>
          <w:ilvl w:val="0"/>
          <w:numId w:val="5"/>
        </w:numPr>
        <w:spacing w:after="90" w:line="276"/>
      </w:pPr>
      <w:r>
        <w:rPr>
          <w:rFonts w:ascii="Calibri" w:cs="Calibri" w:eastAsia="Calibri" w:hAnsi="Calibri"/>
          <w:color w:val="222222"/>
          <w:sz w:val="22"/>
          <w:szCs w:val="22"/>
        </w:rPr>
        <w:t xml:space="preserve">Capture the creative process as it happens.</w:t>
      </w:r>
    </w:p>
    <w:p>
      <w:pPr>
        <w:pStyle w:val="ListParagraph"/>
        <w:numPr>
          <w:ilvl w:val="0"/>
          <w:numId w:val="5"/>
        </w:numPr>
        <w:spacing w:after="90" w:line="276"/>
      </w:pPr>
      <w:r>
        <w:rPr>
          <w:rFonts w:ascii="Calibri" w:cs="Calibri" w:eastAsia="Calibri" w:hAnsi="Calibri"/>
          <w:color w:val="222222"/>
          <w:sz w:val="22"/>
          <w:szCs w:val="22"/>
        </w:rPr>
        <w:t xml:space="preserve">Document the key creative decisions along the way.</w:t>
      </w:r>
    </w:p>
    <w:p>
      <w:pPr>
        <w:pStyle w:val="ListParagraph"/>
        <w:numPr>
          <w:ilvl w:val="0"/>
          <w:numId w:val="5"/>
        </w:numPr>
        <w:spacing w:after="90" w:line="276"/>
      </w:pPr>
      <w:r>
        <w:rPr>
          <w:rFonts w:ascii="Calibri" w:cs="Calibri" w:eastAsia="Calibri" w:hAnsi="Calibri"/>
          <w:color w:val="222222"/>
          <w:sz w:val="22"/>
          <w:szCs w:val="22"/>
        </w:rPr>
        <w:t xml:space="preserve">Prepare accurate, authenticity-focused messaging for this release.</w:t>
      </w:r>
    </w:p>
    <w:p>
      <w:pPr>
        <w:pStyle w:val="ListParagraph"/>
        <w:numPr>
          <w:ilvl w:val="0"/>
          <w:numId w:val="5"/>
        </w:numPr>
        <w:spacing w:after="90" w:line="276"/>
      </w:pPr>
      <w:r>
        <w:rPr>
          <w:rFonts w:ascii="Calibri" w:cs="Calibri" w:eastAsia="Calibri" w:hAnsi="Calibri"/>
          <w:color w:val="222222"/>
          <w:sz w:val="22"/>
          <w:szCs w:val="22"/>
        </w:rPr>
        <w:t xml:space="preserve">Review current platform and distributor disclosure requirements.</w:t>
      </w:r>
    </w:p>
    <w:p>
      <w:pPr>
        <w:pStyle w:val="ListParagraph"/>
        <w:numPr>
          <w:ilvl w:val="0"/>
          <w:numId w:val="5"/>
        </w:numPr>
        <w:spacing w:after="90" w:line="276"/>
      </w:pPr>
      <w:r>
        <w:rPr>
          <w:rFonts w:ascii="Calibri" w:cs="Calibri" w:eastAsia="Calibri" w:hAnsi="Calibri"/>
          <w:color w:val="222222"/>
          <w:sz w:val="22"/>
          <w:szCs w:val="22"/>
        </w:rPr>
        <w:t xml:space="preserve">Build the four-week content cycle from the fresh material.</w:t>
      </w:r>
    </w:p>
    <w:p>
      <w:pPr>
        <w:pStyle w:val="ListParagraph"/>
        <w:numPr>
          <w:ilvl w:val="0"/>
          <w:numId w:val="5"/>
        </w:numPr>
        <w:spacing w:after="90" w:line="276"/>
      </w:pPr>
      <w:r>
        <w:rPr>
          <w:rFonts w:ascii="Calibri" w:cs="Calibri" w:eastAsia="Calibri" w:hAnsi="Calibri"/>
          <w:color w:val="222222"/>
          <w:sz w:val="22"/>
          <w:szCs w:val="22"/>
        </w:rPr>
        <w:t xml:space="preserve">Publish process content alongside the release.</w:t>
      </w:r>
    </w:p>
    <w:p>
      <w:pPr>
        <w:pStyle w:val="ListParagraph"/>
        <w:numPr>
          <w:ilvl w:val="0"/>
          <w:numId w:val="5"/>
        </w:numPr>
        <w:spacing w:after="90" w:line="276"/>
      </w:pPr>
      <w:r>
        <w:rPr>
          <w:rFonts w:ascii="Calibri" w:cs="Calibri" w:eastAsia="Calibri" w:hAnsi="Calibri"/>
          <w:color w:val="222222"/>
          <w:sz w:val="22"/>
          <w:szCs w:val="22"/>
        </w:rPr>
        <w:t xml:space="preserve">Review what worked, and carry it into the next cycle.</w:t>
      </w:r>
    </w:p>
    <w:p>
      <w:pPr>
        <w:spacing w:after="220"/>
      </w:pPr>
    </w:p>
    <w:tbl>
      <w:tblPr>
        <w:tblW w:type="dxa" w:w="9360"/>
        <w:tblBorders>
          <w:top w:val="single" w:color="B08D57" w:sz="4"/>
          <w:left w:val="single" w:color="B08D57" w:sz="4"/>
          <w:bottom w:val="single" w:color="B08D57" w:sz="4"/>
          <w:right w:val="single" w:color="B08D57" w:sz="4"/>
          <w:insideH w:val="none" w:color="FFFFFF" w:sz="0"/>
          <w:insideV w:val="none" w:color="FFFFFF" w:sz="0"/>
        </w:tblBorders>
      </w:tblPr>
      <w:tblGrid>
        <w:gridCol w:w="9360"/>
      </w:tblGrid>
      <w:tr>
        <w:tc>
          <w:tcPr>
            <w:tcW w:type="dxa" w:w="9360"/>
            <w:shd w:fill="F2F1EE" w:val="clear"/>
            <w:tcMar>
              <w:top w:type="dxa" w:w="180"/>
              <w:left w:type="dxa" w:w="220"/>
              <w:bottom w:type="dxa" w:w="180"/>
              <w:right w:type="dxa" w:w="220"/>
            </w:tcMar>
          </w:tcPr>
          <w:p>
            <w:pPr>
              <w:spacing w:after="80"/>
            </w:pPr>
            <w:r>
              <w:rPr>
                <w:rFonts w:ascii="Calibri" w:cs="Calibri" w:eastAsia="Calibri" w:hAnsi="Calibri"/>
                <w:b/>
                <w:bCs/>
                <w:color w:val="1B2A4A"/>
                <w:sz w:val="20"/>
                <w:szCs w:val="20"/>
              </w:rPr>
              <w:t xml:space="preserve">IMPORTANT</w:t>
            </w:r>
          </w:p>
          <w:p>
            <w:pPr>
              <w:spacing w:after="40"/>
            </w:pPr>
            <w:r>
              <w:rPr>
                <w:rFonts w:ascii="Calibri" w:cs="Calibri" w:eastAsia="Calibri" w:hAnsi="Calibri"/>
                <w:color w:val="222222"/>
                <w:sz w:val="20"/>
                <w:szCs w:val="20"/>
              </w:rPr>
              <w:t xml:space="preserve">Platform features, disclosure requirements, and distributor options change regularly. This toolkit is provided for educational and promotional-planning purposes and should not be treated as legal, platform-policy, or financial advice. Check the current requirements of your streaming platforms, distributors, and other relevant services before making declarations about AI use, ownership, credits, or metadata.</w:t>
            </w:r>
          </w:p>
        </w:tc>
      </w:tr>
    </w:tbl>
    <w:p>
      <w:pPr>
        <w:spacing w:after="260"/>
      </w:pPr>
    </w:p>
    <w:p>
      <w:pPr>
        <w:pBdr>
          <w:top w:val="single" w:color="B08D57" w:sz="6" w:space="10"/>
        </w:pBdr>
        <w:spacing w:after="100" w:before="200"/>
        <w:jc w:val="center"/>
      </w:pPr>
      <w:r>
        <w:rPr>
          <w:rFonts w:ascii="Calibri" w:cs="Calibri" w:eastAsia="Calibri" w:hAnsi="Calibri"/>
          <w:b/>
          <w:bCs/>
          <w:color w:val="B08D57"/>
          <w:spacing w:val="12"/>
          <w:sz w:val="18"/>
          <w:szCs w:val="18"/>
        </w:rPr>
        <w:t xml:space="preserve">MORE FROM REALMUZICK</w:t>
      </w:r>
    </w:p>
    <w:p>
      <w:pPr>
        <w:spacing w:after="200"/>
        <w:jc w:val="center"/>
      </w:pPr>
      <w:r>
        <w:rPr>
          <w:rFonts w:ascii="Calibri" w:cs="Calibri" w:eastAsia="Calibri" w:hAnsi="Calibri"/>
          <w:color w:val="222222"/>
          <w:sz w:val="20"/>
          <w:szCs w:val="20"/>
        </w:rPr>
        <w:t xml:space="preserve">RealMuZick creates practical resources for independent artists, producers, and creators navigating music, promotion, and AI.</w:t>
      </w:r>
    </w:p>
    <w:p>
      <w:pPr>
        <w:jc w:val="center"/>
      </w:pPr>
      <w:r>
        <w:rPr>
          <w:rFonts w:ascii="Cambria" w:cs="Cambria" w:eastAsia="Cambria" w:hAnsi="Cambria"/>
          <w:b/>
          <w:bCs/>
          <w:color w:val="1B2A4A"/>
          <w:sz w:val="20"/>
          <w:szCs w:val="20"/>
        </w:rPr>
        <w:t xml:space="preserve">THE VERIFIED HUMAN TOOLKIT</w:t>
      </w:r>
    </w:p>
    <w:p>
      <w:pPr>
        <w:jc w:val="center"/>
      </w:pPr>
      <w:r>
        <w:rPr>
          <w:rFonts w:ascii="Calibri" w:cs="Calibri" w:eastAsia="Calibri" w:hAnsi="Calibri"/>
          <w:color w:val="6B6B6B"/>
          <w:sz w:val="16"/>
          <w:szCs w:val="16"/>
        </w:rPr>
        <w:t xml:space="preserve">© RealMuZick · 2026 · Not for redistribution without license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Page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6B6B"/>
        <w:spacing w:val="6"/>
        <w:sz w:val="15"/>
        <w:szCs w:val="15"/>
      </w:rPr>
      <w:t xml:space="preserve">THE VERIFIED HUMAN TOOLKIT · REALMUZICK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20" w:hanging="300"/>
      </w:pPr>
    </w:lvl>
  </w:abstractNum>
  <w:abstractNum w:abstractNumId="4" w15:restartNumberingAfterBreak="0">
    <w:multiLevelType w:val="hybridMultilevel"/>
    <w:lvl w:ilvl="0" w15:tentative="1">
      <w:start w:val="1"/>
      <w:numFmt w:val="decimal"/>
      <w:lvlText w:val="%1."/>
      <w:lvlJc w:val="left"/>
      <w:pPr>
        <w:ind w:left="420" w:hanging="300"/>
      </w:pPr>
    </w:lvl>
  </w:abstractNum>
  <w:abstractNum w:abstractNumId="5" w15:restartNumberingAfterBreak="0">
    <w:multiLevelType w:val="hybridMultilevel"/>
    <w:lvl w:ilvl="0" w15:tentative="1">
      <w:start w:val="1"/>
      <w:numFmt w:val="decimal"/>
      <w:lvlText w:val="%1."/>
      <w:lvlJc w:val="left"/>
      <w:pPr>
        <w:ind w:left="42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2026-08-20T11:04:51.164Z</dcterms:created>
  <dcterms:modified xsi:type="dcterms:W3CDTF">2026-08-20T11:04:51.164Z</dcterms:modified>
</cp:coreProperties>
</file>

<file path=docProps/custom.xml><?xml version="1.0" encoding="utf-8"?>
<Properties xmlns="http://schemas.openxmlformats.org/officeDocument/2006/custom-properties" xmlns:vt="http://schemas.openxmlformats.org/officeDocument/2006/docPropsVTypes"/>
</file>